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1748B" w14:textId="77777777" w:rsidR="005F23CD" w:rsidRPr="003C37C8" w:rsidRDefault="00CD4348" w:rsidP="00CD4348">
      <w:pPr>
        <w:pStyle w:val="Titre"/>
        <w:jc w:val="center"/>
        <w:rPr>
          <w:rStyle w:val="Titredulivre"/>
        </w:rPr>
      </w:pPr>
      <w:r w:rsidRPr="003C37C8">
        <w:rPr>
          <w:rStyle w:val="Titredulivre"/>
        </w:rPr>
        <w:t>M</w:t>
      </w:r>
      <w:r w:rsidR="00723E0B" w:rsidRPr="003C37C8">
        <w:rPr>
          <w:rStyle w:val="Titredulivre"/>
        </w:rPr>
        <w:t>ise en œuvre</w:t>
      </w:r>
      <w:r w:rsidRPr="003C37C8">
        <w:rPr>
          <w:rStyle w:val="Titredulivre"/>
        </w:rPr>
        <w:t xml:space="preserve"> </w:t>
      </w:r>
      <w:r w:rsidR="00723E0B" w:rsidRPr="003C37C8">
        <w:rPr>
          <w:rStyle w:val="Titredulivre"/>
        </w:rPr>
        <w:t>d</w:t>
      </w:r>
      <w:r w:rsidR="00971024" w:rsidRPr="003C37C8">
        <w:rPr>
          <w:rStyle w:val="Titredulivre"/>
        </w:rPr>
        <w:t>e la</w:t>
      </w:r>
      <w:r w:rsidR="00723E0B" w:rsidRPr="003C37C8">
        <w:rPr>
          <w:rStyle w:val="Titredulivre"/>
        </w:rPr>
        <w:t xml:space="preserve"> césure</w:t>
      </w:r>
    </w:p>
    <w:p w14:paraId="7E80DFD2" w14:textId="77777777" w:rsidR="00785F05" w:rsidRDefault="00CD4348" w:rsidP="003C37C8">
      <w:pPr>
        <w:pStyle w:val="Titre3"/>
        <w:jc w:val="center"/>
        <w:rPr>
          <w:rStyle w:val="Titredulivre"/>
        </w:rPr>
      </w:pPr>
      <w:r w:rsidRPr="003C37C8">
        <w:rPr>
          <w:rStyle w:val="Titredulivre"/>
        </w:rPr>
        <w:t xml:space="preserve">En application </w:t>
      </w:r>
      <w:r w:rsidR="00785F05">
        <w:rPr>
          <w:rStyle w:val="Titredulivre"/>
        </w:rPr>
        <w:t>du décret n° 2018-372 du 18 mai 2018</w:t>
      </w:r>
      <w:r w:rsidR="003D7706">
        <w:rPr>
          <w:rStyle w:val="Titredulivre"/>
        </w:rPr>
        <w:t xml:space="preserve"> (articles D.611-13 à D.611-20 du code de l’</w:t>
      </w:r>
      <w:r w:rsidR="008E6CD1">
        <w:rPr>
          <w:rStyle w:val="Titredulivre"/>
        </w:rPr>
        <w:t>éducation</w:t>
      </w:r>
      <w:r w:rsidR="003D7706">
        <w:rPr>
          <w:rStyle w:val="Titredulivre"/>
        </w:rPr>
        <w:t>)</w:t>
      </w:r>
      <w:r w:rsidR="00785F05">
        <w:rPr>
          <w:rStyle w:val="Titredulivre"/>
        </w:rPr>
        <w:t xml:space="preserve"> relatif à la suspension temporaire des études dans les établissements publics dispensant des formations initiales d’enseignement supérieur</w:t>
      </w:r>
    </w:p>
    <w:p w14:paraId="69EFA4DD" w14:textId="77777777" w:rsidR="00CD4348" w:rsidRDefault="00CD4348" w:rsidP="00971024">
      <w:pPr>
        <w:jc w:val="both"/>
      </w:pPr>
    </w:p>
    <w:p w14:paraId="71239E79" w14:textId="77777777" w:rsidR="00F74913" w:rsidRPr="00CD4348" w:rsidRDefault="00F74913" w:rsidP="00971024">
      <w:pPr>
        <w:jc w:val="both"/>
      </w:pPr>
    </w:p>
    <w:p w14:paraId="2994AB85" w14:textId="77777777" w:rsidR="000750C4" w:rsidRPr="000750C4" w:rsidRDefault="000750C4" w:rsidP="000750C4">
      <w:pPr>
        <w:pStyle w:val="Paragraphedeliste"/>
        <w:numPr>
          <w:ilvl w:val="0"/>
          <w:numId w:val="14"/>
        </w:numPr>
        <w:jc w:val="both"/>
        <w:rPr>
          <w:b/>
          <w:u w:val="single"/>
        </w:rPr>
      </w:pPr>
      <w:r w:rsidRPr="000750C4">
        <w:rPr>
          <w:b/>
          <w:u w:val="single"/>
        </w:rPr>
        <w:t>Le cadre général</w:t>
      </w:r>
    </w:p>
    <w:p w14:paraId="4784E31C" w14:textId="77777777" w:rsidR="00971024" w:rsidRPr="00A167F2" w:rsidRDefault="001E4178" w:rsidP="00971024">
      <w:pPr>
        <w:jc w:val="both"/>
        <w:rPr>
          <w:b/>
        </w:rPr>
      </w:pPr>
      <w:r>
        <w:rPr>
          <w:b/>
        </w:rPr>
        <w:t xml:space="preserve">1.1 - </w:t>
      </w:r>
      <w:r w:rsidR="00971024" w:rsidRPr="00A167F2">
        <w:rPr>
          <w:b/>
        </w:rPr>
        <w:t xml:space="preserve">Définition </w:t>
      </w:r>
    </w:p>
    <w:p w14:paraId="0BC10324" w14:textId="5F4084D9" w:rsidR="00E80E47" w:rsidRPr="00E80E47" w:rsidRDefault="00E80E47" w:rsidP="00E80E47">
      <w:pPr>
        <w:widowControl w:val="0"/>
        <w:autoSpaceDE w:val="0"/>
        <w:autoSpaceDN w:val="0"/>
        <w:adjustRightInd w:val="0"/>
        <w:spacing w:after="0" w:line="240" w:lineRule="auto"/>
        <w:jc w:val="both"/>
      </w:pPr>
      <w:r w:rsidRPr="00E80E47">
        <w:rPr>
          <w:rFonts w:cs="Arial"/>
        </w:rPr>
        <w:t>C’est une p</w:t>
      </w:r>
      <w:r w:rsidR="00785F05" w:rsidRPr="00E80E47">
        <w:rPr>
          <w:rFonts w:cs="Arial"/>
        </w:rPr>
        <w:t xml:space="preserve">ériode pendant laquelle un étudiant, inscrit </w:t>
      </w:r>
      <w:r w:rsidR="00785F05" w:rsidRPr="00E80E47">
        <w:rPr>
          <w:rFonts w:cs="Arial"/>
          <w:b/>
        </w:rPr>
        <w:t>dans une formation initiale</w:t>
      </w:r>
      <w:r w:rsidR="00785F05" w:rsidRPr="00E80E47">
        <w:rPr>
          <w:rFonts w:cs="Arial"/>
        </w:rPr>
        <w:t xml:space="preserve"> d’enseignement supérieur, suspend temporairement ses études dans le but d’acquérir une expérience </w:t>
      </w:r>
      <w:r w:rsidR="00785F05" w:rsidRPr="00E80E47">
        <w:rPr>
          <w:rFonts w:cs="Arial"/>
          <w:b/>
        </w:rPr>
        <w:t>personnelle ou professionnelle</w:t>
      </w:r>
      <w:r w:rsidR="00785F05" w:rsidRPr="00E80E47">
        <w:rPr>
          <w:rFonts w:cs="Arial"/>
        </w:rPr>
        <w:t>, soit en autonomie, soit encadré dans un organisme d’accueil en France ou à l’étranger</w:t>
      </w:r>
      <w:r>
        <w:rPr>
          <w:rFonts w:cs="Arial"/>
        </w:rPr>
        <w:t xml:space="preserve"> (</w:t>
      </w:r>
      <w:r w:rsidRPr="00E80E47">
        <w:t xml:space="preserve">Cf. article D.611-13). </w:t>
      </w:r>
    </w:p>
    <w:p w14:paraId="4FE8B06D" w14:textId="77777777" w:rsidR="00F44369" w:rsidRPr="00E80E47" w:rsidRDefault="00F44369" w:rsidP="00785F05">
      <w:pPr>
        <w:widowControl w:val="0"/>
        <w:autoSpaceDE w:val="0"/>
        <w:autoSpaceDN w:val="0"/>
        <w:adjustRightInd w:val="0"/>
        <w:spacing w:after="0" w:line="240" w:lineRule="auto"/>
        <w:jc w:val="both"/>
        <w:rPr>
          <w:rFonts w:cs="Arial"/>
        </w:rPr>
      </w:pPr>
    </w:p>
    <w:p w14:paraId="2002A249" w14:textId="5DCEDFB8" w:rsidR="00E80E47" w:rsidRDefault="00E80E47" w:rsidP="003C37C8">
      <w:pPr>
        <w:spacing w:after="0"/>
        <w:jc w:val="both"/>
      </w:pPr>
      <w:r w:rsidRPr="00E80E47">
        <w:t>Elle est effectuée sur la base d'un strict volontariat de l'étudiant qui s'y engage et ne peut être rendue nécessaire pour l'obtention du diplôme préparé avant et après cette suspension. Elle ne peut donc pas comporter un caractère obligatoire.</w:t>
      </w:r>
      <w:r>
        <w:t xml:space="preserve"> </w:t>
      </w:r>
    </w:p>
    <w:p w14:paraId="7718D24E" w14:textId="77777777" w:rsidR="00E80E47" w:rsidRDefault="00E80E47" w:rsidP="00E80E47">
      <w:pPr>
        <w:widowControl w:val="0"/>
        <w:autoSpaceDE w:val="0"/>
        <w:autoSpaceDN w:val="0"/>
        <w:adjustRightInd w:val="0"/>
        <w:spacing w:after="0" w:line="240" w:lineRule="auto"/>
        <w:jc w:val="both"/>
        <w:rPr>
          <w:rFonts w:cs="Arial"/>
          <w:i/>
        </w:rPr>
      </w:pPr>
    </w:p>
    <w:p w14:paraId="6041D332" w14:textId="21946305" w:rsidR="00164F76" w:rsidRDefault="00E80E47" w:rsidP="00164F76">
      <w:pPr>
        <w:spacing w:after="0"/>
        <w:jc w:val="both"/>
      </w:pPr>
      <w:r w:rsidRPr="00E80E47">
        <w:rPr>
          <w:rFonts w:cs="Arial"/>
        </w:rPr>
        <w:t xml:space="preserve">Chaque cycle d’études ouvre droit à une seule période de césure. Elle peut débuter dès l’inscription dans la formation </w:t>
      </w:r>
      <w:r w:rsidRPr="0037190B">
        <w:rPr>
          <w:rFonts w:cs="Arial"/>
        </w:rPr>
        <w:t xml:space="preserve">et </w:t>
      </w:r>
      <w:r w:rsidRPr="004D6CF4">
        <w:rPr>
          <w:rFonts w:cs="Arial"/>
          <w:highlight w:val="yellow"/>
        </w:rPr>
        <w:t>s’achève au plus tard avant le dernier semestre de la fin de cette formation quelle que soi</w:t>
      </w:r>
      <w:r w:rsidR="00164F76" w:rsidRPr="004D6CF4">
        <w:rPr>
          <w:rFonts w:cs="Arial"/>
          <w:highlight w:val="yellow"/>
        </w:rPr>
        <w:t>t la durée du cycle d’études</w:t>
      </w:r>
      <w:r w:rsidRPr="004D6CF4">
        <w:rPr>
          <w:rFonts w:cs="Arial"/>
          <w:highlight w:val="yellow"/>
        </w:rPr>
        <w:t>.</w:t>
      </w:r>
      <w:r w:rsidR="00164F76">
        <w:rPr>
          <w:rFonts w:cs="Arial"/>
        </w:rPr>
        <w:t xml:space="preserve"> </w:t>
      </w:r>
      <w:r w:rsidR="00164F76">
        <w:t xml:space="preserve">(Cf. </w:t>
      </w:r>
      <w:r w:rsidR="0058266B">
        <w:t xml:space="preserve">article </w:t>
      </w:r>
      <w:r w:rsidR="00164F76">
        <w:t>D.611.15)</w:t>
      </w:r>
    </w:p>
    <w:p w14:paraId="041A9CB5" w14:textId="77777777" w:rsidR="00E80E47" w:rsidRPr="00E80E47" w:rsidRDefault="00E80E47" w:rsidP="003C37C8">
      <w:pPr>
        <w:spacing w:after="0"/>
        <w:jc w:val="both"/>
      </w:pPr>
    </w:p>
    <w:p w14:paraId="279DD189" w14:textId="77777777" w:rsidR="003B15BA" w:rsidRDefault="001E4178" w:rsidP="00CD4348">
      <w:pPr>
        <w:tabs>
          <w:tab w:val="left" w:pos="6300"/>
        </w:tabs>
        <w:jc w:val="both"/>
        <w:rPr>
          <w:b/>
        </w:rPr>
      </w:pPr>
      <w:r>
        <w:rPr>
          <w:b/>
        </w:rPr>
        <w:t xml:space="preserve">1.2 </w:t>
      </w:r>
      <w:r w:rsidR="003B15BA">
        <w:rPr>
          <w:b/>
        </w:rPr>
        <w:t>–</w:t>
      </w:r>
      <w:r>
        <w:rPr>
          <w:b/>
        </w:rPr>
        <w:t xml:space="preserve"> </w:t>
      </w:r>
      <w:r w:rsidR="00CB06DC">
        <w:rPr>
          <w:b/>
        </w:rPr>
        <w:t>Durée</w:t>
      </w:r>
    </w:p>
    <w:p w14:paraId="5590E9E5" w14:textId="54A76D70" w:rsidR="00E80E47" w:rsidRPr="00E80E47" w:rsidRDefault="00E80E47" w:rsidP="00E80E47">
      <w:pPr>
        <w:tabs>
          <w:tab w:val="left" w:pos="6300"/>
        </w:tabs>
        <w:jc w:val="both"/>
      </w:pPr>
      <w:r w:rsidRPr="00E80E47">
        <w:rPr>
          <w:rFonts w:cs="Arial"/>
        </w:rPr>
        <w:t>Sa durée ne peut être inférieure à celle d’un semestre universitaire, ni supérieure à deux semestres consécutifs.</w:t>
      </w:r>
      <w:r>
        <w:rPr>
          <w:rFonts w:cs="Arial"/>
        </w:rPr>
        <w:t xml:space="preserve"> </w:t>
      </w:r>
      <w:r w:rsidR="00785F05" w:rsidRPr="00E80E47">
        <w:rPr>
          <w:rFonts w:cs="Arial"/>
        </w:rPr>
        <w:t xml:space="preserve">Le </w:t>
      </w:r>
      <w:r>
        <w:rPr>
          <w:rFonts w:cs="Arial"/>
        </w:rPr>
        <w:t>d</w:t>
      </w:r>
      <w:r w:rsidR="00785F05" w:rsidRPr="00E80E47">
        <w:rPr>
          <w:rFonts w:cs="Arial"/>
        </w:rPr>
        <w:t xml:space="preserve">ébut d’une période de césure coïncide nécessairement avec celui d’un semestre universitaire. </w:t>
      </w:r>
      <w:r w:rsidRPr="00E80E47">
        <w:t xml:space="preserve">(Cf. </w:t>
      </w:r>
      <w:r w:rsidR="0058266B">
        <w:t xml:space="preserve">article </w:t>
      </w:r>
      <w:r w:rsidRPr="00E80E47">
        <w:t>D.611.15)</w:t>
      </w:r>
    </w:p>
    <w:p w14:paraId="55E2F2B7" w14:textId="77777777" w:rsidR="00917ED4" w:rsidRDefault="001E4178" w:rsidP="00B40B82">
      <w:pPr>
        <w:jc w:val="both"/>
      </w:pPr>
      <w:r>
        <w:rPr>
          <w:b/>
        </w:rPr>
        <w:t xml:space="preserve">1.3 – </w:t>
      </w:r>
      <w:r w:rsidR="00B40B82" w:rsidRPr="00CB06DC">
        <w:rPr>
          <w:b/>
        </w:rPr>
        <w:t>Public concerné</w:t>
      </w:r>
      <w:r w:rsidR="00CB06DC" w:rsidRPr="00CB06DC">
        <w:t> </w:t>
      </w:r>
    </w:p>
    <w:p w14:paraId="746C8F60" w14:textId="4DAF1056" w:rsidR="00785F05" w:rsidRPr="002D378D" w:rsidRDefault="0068507E" w:rsidP="003C37C8">
      <w:pPr>
        <w:spacing w:after="0"/>
        <w:jc w:val="both"/>
        <w:rPr>
          <w:rFonts w:cs="Arial"/>
        </w:rPr>
      </w:pPr>
      <w:r>
        <w:rPr>
          <w:rFonts w:cs="Arial"/>
        </w:rPr>
        <w:t>Les é</w:t>
      </w:r>
      <w:r w:rsidR="003B15BA" w:rsidRPr="002D378D">
        <w:rPr>
          <w:rFonts w:cs="Arial"/>
        </w:rPr>
        <w:t>tudiants inscrits dans un cursus de formation initiale, au sein d’un établissement public dispensant des form</w:t>
      </w:r>
      <w:r w:rsidR="00D01202">
        <w:rPr>
          <w:rFonts w:cs="Arial"/>
        </w:rPr>
        <w:t>ations d’enseignement supérieur</w:t>
      </w:r>
      <w:r>
        <w:rPr>
          <w:rFonts w:cs="Arial"/>
        </w:rPr>
        <w:t>.</w:t>
      </w:r>
    </w:p>
    <w:p w14:paraId="42C682FC" w14:textId="77777777" w:rsidR="003B15BA" w:rsidRPr="002D378D" w:rsidRDefault="003B15BA" w:rsidP="003C37C8">
      <w:pPr>
        <w:spacing w:after="0"/>
        <w:jc w:val="both"/>
        <w:rPr>
          <w:rFonts w:cs="Arial"/>
        </w:rPr>
      </w:pPr>
    </w:p>
    <w:p w14:paraId="432F3AD5" w14:textId="77777777" w:rsidR="00CB06DC" w:rsidRDefault="001E4178" w:rsidP="00B40B82">
      <w:pPr>
        <w:jc w:val="both"/>
        <w:rPr>
          <w:b/>
        </w:rPr>
      </w:pPr>
      <w:r>
        <w:rPr>
          <w:b/>
        </w:rPr>
        <w:t xml:space="preserve">1.4 - </w:t>
      </w:r>
      <w:r w:rsidR="00B40B82" w:rsidRPr="0037312B">
        <w:rPr>
          <w:b/>
        </w:rPr>
        <w:t>Formations con</w:t>
      </w:r>
      <w:r w:rsidR="00CB06DC">
        <w:rPr>
          <w:b/>
        </w:rPr>
        <w:t>cernées </w:t>
      </w:r>
    </w:p>
    <w:p w14:paraId="05F0D307" w14:textId="77777777" w:rsidR="000750C4" w:rsidRDefault="00CB06DC" w:rsidP="00B40B82">
      <w:pPr>
        <w:jc w:val="both"/>
      </w:pPr>
      <w:r w:rsidRPr="000750C4">
        <w:t xml:space="preserve">La </w:t>
      </w:r>
      <w:r w:rsidR="00633877" w:rsidRPr="000750C4">
        <w:t xml:space="preserve">césure </w:t>
      </w:r>
      <w:r w:rsidRPr="000750C4">
        <w:t xml:space="preserve">est </w:t>
      </w:r>
      <w:r w:rsidR="00633877" w:rsidRPr="000750C4">
        <w:t xml:space="preserve">possible </w:t>
      </w:r>
      <w:r w:rsidR="0037312B" w:rsidRPr="000750C4">
        <w:t xml:space="preserve">dans le cadre des formations </w:t>
      </w:r>
      <w:r w:rsidR="000750C4">
        <w:t xml:space="preserve">suivantes : </w:t>
      </w:r>
    </w:p>
    <w:p w14:paraId="02DC5843" w14:textId="77777777" w:rsidR="000750C4" w:rsidRDefault="0037312B" w:rsidP="000750C4">
      <w:pPr>
        <w:pStyle w:val="Paragraphedeliste"/>
        <w:numPr>
          <w:ilvl w:val="0"/>
          <w:numId w:val="12"/>
        </w:numPr>
        <w:jc w:val="both"/>
      </w:pPr>
      <w:r w:rsidRPr="000750C4">
        <w:t xml:space="preserve">licence, </w:t>
      </w:r>
    </w:p>
    <w:p w14:paraId="5A32B5F7" w14:textId="77777777" w:rsidR="000750C4" w:rsidRDefault="0037312B" w:rsidP="000750C4">
      <w:pPr>
        <w:pStyle w:val="Paragraphedeliste"/>
        <w:numPr>
          <w:ilvl w:val="0"/>
          <w:numId w:val="12"/>
        </w:numPr>
        <w:jc w:val="both"/>
      </w:pPr>
      <w:r w:rsidRPr="000750C4">
        <w:t xml:space="preserve">master, </w:t>
      </w:r>
    </w:p>
    <w:p w14:paraId="667BA457" w14:textId="77777777" w:rsidR="000750C4" w:rsidRDefault="0037312B" w:rsidP="000750C4">
      <w:pPr>
        <w:pStyle w:val="Paragraphedeliste"/>
        <w:numPr>
          <w:ilvl w:val="0"/>
          <w:numId w:val="12"/>
        </w:numPr>
        <w:jc w:val="both"/>
      </w:pPr>
      <w:r w:rsidRPr="000750C4">
        <w:t xml:space="preserve">DUT, </w:t>
      </w:r>
    </w:p>
    <w:p w14:paraId="305C85C2" w14:textId="77777777" w:rsidR="000750C4" w:rsidRDefault="0037312B" w:rsidP="000750C4">
      <w:pPr>
        <w:pStyle w:val="Paragraphedeliste"/>
        <w:numPr>
          <w:ilvl w:val="0"/>
          <w:numId w:val="12"/>
        </w:numPr>
        <w:jc w:val="both"/>
      </w:pPr>
      <w:r w:rsidRPr="000750C4">
        <w:t xml:space="preserve">diplômes d’ingénieurs </w:t>
      </w:r>
    </w:p>
    <w:p w14:paraId="68842962" w14:textId="77777777" w:rsidR="00AC355D" w:rsidRDefault="0037312B" w:rsidP="00A92CC1">
      <w:pPr>
        <w:pStyle w:val="Paragraphedeliste"/>
        <w:numPr>
          <w:ilvl w:val="0"/>
          <w:numId w:val="12"/>
        </w:numPr>
        <w:jc w:val="both"/>
      </w:pPr>
      <w:r w:rsidRPr="00CB06DC">
        <w:t>formations de santé</w:t>
      </w:r>
    </w:p>
    <w:p w14:paraId="4342C02B" w14:textId="77777777" w:rsidR="0058266B" w:rsidRDefault="0058266B" w:rsidP="00A92CC1">
      <w:pPr>
        <w:jc w:val="both"/>
      </w:pPr>
    </w:p>
    <w:p w14:paraId="018E7A64" w14:textId="72D30F94" w:rsidR="0068507E" w:rsidRDefault="003C37C8" w:rsidP="00A92CC1">
      <w:pPr>
        <w:jc w:val="both"/>
      </w:pPr>
      <w:r w:rsidRPr="0037190B">
        <w:t>I</w:t>
      </w:r>
      <w:r w:rsidR="00D32B2E" w:rsidRPr="0037190B">
        <w:t>l est pr</w:t>
      </w:r>
      <w:r w:rsidR="00A92CC1" w:rsidRPr="0037190B">
        <w:t>éconis</w:t>
      </w:r>
      <w:r w:rsidR="00D32B2E" w:rsidRPr="0037190B">
        <w:t>é</w:t>
      </w:r>
      <w:r w:rsidR="00A92CC1" w:rsidRPr="0037190B">
        <w:t xml:space="preserve"> de ne pas </w:t>
      </w:r>
      <w:r w:rsidR="00D32B2E" w:rsidRPr="0037190B">
        <w:t>mettre en œuvre la césure au sein des licences professionnelles.  Leur courte durée et leur objectif d’insertion professionnelle n</w:t>
      </w:r>
      <w:r w:rsidR="004C28E0" w:rsidRPr="0037190B">
        <w:t>’apparaissent</w:t>
      </w:r>
      <w:r w:rsidRPr="0037190B">
        <w:t xml:space="preserve"> </w:t>
      </w:r>
      <w:r w:rsidR="00D32B2E" w:rsidRPr="0037190B">
        <w:t>pas en adéquation avec l’objet de la césure.</w:t>
      </w:r>
    </w:p>
    <w:p w14:paraId="4632778E" w14:textId="77777777" w:rsidR="00EE3F12" w:rsidRPr="00EE3F12" w:rsidRDefault="00EE3F12" w:rsidP="00EE3F12">
      <w:pPr>
        <w:pStyle w:val="Paragraphedeliste"/>
        <w:numPr>
          <w:ilvl w:val="1"/>
          <w:numId w:val="20"/>
        </w:numPr>
        <w:jc w:val="both"/>
        <w:rPr>
          <w:b/>
          <w:bCs/>
          <w:iCs/>
        </w:rPr>
      </w:pPr>
      <w:r w:rsidRPr="00EE3F12">
        <w:rPr>
          <w:b/>
          <w:bCs/>
          <w:iCs/>
        </w:rPr>
        <w:t xml:space="preserve">- Les différents cas de césure </w:t>
      </w:r>
    </w:p>
    <w:p w14:paraId="0680B0DE" w14:textId="4957C7C4" w:rsidR="00FB5D4F" w:rsidRDefault="00EE3F12" w:rsidP="00FB5D4F">
      <w:pPr>
        <w:jc w:val="both"/>
        <w:rPr>
          <w:bCs/>
          <w:iCs/>
        </w:rPr>
      </w:pPr>
      <w:r w:rsidRPr="00FB5D4F">
        <w:rPr>
          <w:bCs/>
          <w:iCs/>
        </w:rPr>
        <w:t xml:space="preserve">La césure peut prendre </w:t>
      </w:r>
      <w:r w:rsidRPr="00FB5D4F">
        <w:rPr>
          <w:b/>
          <w:bCs/>
          <w:iCs/>
        </w:rPr>
        <w:t>notamment</w:t>
      </w:r>
      <w:r w:rsidRPr="00FB5D4F">
        <w:rPr>
          <w:bCs/>
          <w:iCs/>
        </w:rPr>
        <w:t xml:space="preserve"> l’une des formes suivantes</w:t>
      </w:r>
      <w:r w:rsidR="00FB5D4F">
        <w:rPr>
          <w:bCs/>
          <w:iCs/>
        </w:rPr>
        <w:t xml:space="preserve"> </w:t>
      </w:r>
      <w:r w:rsidR="00FB5D4F" w:rsidRPr="00FB5D4F">
        <w:rPr>
          <w:bCs/>
          <w:iCs/>
        </w:rPr>
        <w:t>(Cf. article D.611-16)</w:t>
      </w:r>
      <w:r w:rsidR="00D01202">
        <w:rPr>
          <w:bCs/>
          <w:iCs/>
        </w:rPr>
        <w:t> :</w:t>
      </w:r>
    </w:p>
    <w:p w14:paraId="409CAFE1" w14:textId="44658A8A" w:rsidR="00EE3F12" w:rsidRPr="00FB5D4F" w:rsidRDefault="00EE3F12" w:rsidP="00FB5D4F">
      <w:pPr>
        <w:pStyle w:val="Paragraphedeliste"/>
        <w:numPr>
          <w:ilvl w:val="0"/>
          <w:numId w:val="22"/>
        </w:numPr>
        <w:jc w:val="both"/>
        <w:rPr>
          <w:bCs/>
          <w:iCs/>
        </w:rPr>
      </w:pPr>
      <w:r w:rsidRPr="00FB5D4F">
        <w:rPr>
          <w:bCs/>
          <w:iCs/>
        </w:rPr>
        <w:t>Une formation dans un domaine différent de celui de la formation dans laquelle l’étudiant est inscrit ;</w:t>
      </w:r>
    </w:p>
    <w:p w14:paraId="56142C12" w14:textId="51F9FE22" w:rsidR="00EE3F12" w:rsidRPr="00FB5D4F" w:rsidRDefault="00EE3F12" w:rsidP="0058266B">
      <w:pPr>
        <w:jc w:val="both"/>
      </w:pPr>
      <w:r w:rsidRPr="00FB5D4F">
        <w:t xml:space="preserve">Dans ce cas, le statut étudiant et les droits afférents sont maintenus dans le cadre des dispositions réglementaires en vigueur. L’étudiant doit se conformer à la procédure de candidature et d’inscription de l’établissement d’accueil. </w:t>
      </w:r>
    </w:p>
    <w:p w14:paraId="5EEB8681" w14:textId="77777777" w:rsidR="00EE3F12" w:rsidRDefault="00EE3F12" w:rsidP="00EE3F12">
      <w:pPr>
        <w:pStyle w:val="Paragraphedeliste"/>
        <w:numPr>
          <w:ilvl w:val="0"/>
          <w:numId w:val="19"/>
        </w:numPr>
        <w:jc w:val="both"/>
        <w:rPr>
          <w:b/>
          <w:bCs/>
          <w:iCs/>
        </w:rPr>
      </w:pPr>
      <w:r w:rsidRPr="00FB5D4F">
        <w:rPr>
          <w:bCs/>
          <w:iCs/>
        </w:rPr>
        <w:t>Une expérience en milieu professionnel en France </w:t>
      </w:r>
      <w:r w:rsidRPr="00FB5D4F">
        <w:rPr>
          <w:b/>
          <w:bCs/>
          <w:iCs/>
        </w:rPr>
        <w:t>ou à l’étranger ;</w:t>
      </w:r>
    </w:p>
    <w:p w14:paraId="59296A95" w14:textId="40E89563" w:rsidR="0058266B" w:rsidRPr="0058266B" w:rsidRDefault="0058266B" w:rsidP="0058266B">
      <w:pPr>
        <w:jc w:val="both"/>
      </w:pPr>
      <w:r w:rsidRPr="0058266B">
        <w:t>Les procédures de l’UGA concernant les départs à l’étranger sont également valables dans le contexte de césure, notamment concernant les aspects sécuritaires.</w:t>
      </w:r>
    </w:p>
    <w:p w14:paraId="1D906C07" w14:textId="77777777" w:rsidR="00EE3F12" w:rsidRDefault="00EE3F12" w:rsidP="00EE3F12">
      <w:pPr>
        <w:pStyle w:val="Paragraphedeliste"/>
        <w:numPr>
          <w:ilvl w:val="0"/>
          <w:numId w:val="19"/>
        </w:numPr>
        <w:jc w:val="both"/>
        <w:rPr>
          <w:bCs/>
          <w:iCs/>
        </w:rPr>
      </w:pPr>
      <w:r w:rsidRPr="00FB5D4F">
        <w:rPr>
          <w:bCs/>
          <w:iCs/>
        </w:rPr>
        <w:t>Un engagement de service civique en France ou à l’étranger, qui peut notamment prendre la forme d’un volontariat de solidarité internationale, d’un volontariat international en administration ou en entreprise ou d’un service volontaire européen ;</w:t>
      </w:r>
    </w:p>
    <w:p w14:paraId="35B7D4B3" w14:textId="77777777" w:rsidR="0058266B" w:rsidRPr="00FB5D4F" w:rsidRDefault="0058266B" w:rsidP="0058266B">
      <w:pPr>
        <w:pStyle w:val="Paragraphedeliste"/>
        <w:jc w:val="both"/>
        <w:rPr>
          <w:bCs/>
          <w:iCs/>
        </w:rPr>
      </w:pPr>
    </w:p>
    <w:p w14:paraId="754632B5" w14:textId="77777777" w:rsidR="00EE3F12" w:rsidRPr="00FB5D4F" w:rsidRDefault="00EE3F12" w:rsidP="00EE3F12">
      <w:pPr>
        <w:pStyle w:val="Paragraphedeliste"/>
        <w:numPr>
          <w:ilvl w:val="0"/>
          <w:numId w:val="19"/>
        </w:numPr>
        <w:jc w:val="both"/>
        <w:rPr>
          <w:bCs/>
          <w:iCs/>
        </w:rPr>
      </w:pPr>
      <w:r w:rsidRPr="00FB5D4F">
        <w:rPr>
          <w:bCs/>
          <w:iCs/>
        </w:rPr>
        <w:t>Un projet de création d’activité en qualité d’étudiant-entrepreneur.</w:t>
      </w:r>
    </w:p>
    <w:p w14:paraId="21144BAF" w14:textId="7E8B67F6" w:rsidR="00EE3F12" w:rsidRPr="004F2D4E" w:rsidRDefault="00EE3F12" w:rsidP="00EE3F12">
      <w:pPr>
        <w:jc w:val="both"/>
      </w:pPr>
      <w:r w:rsidRPr="004F2D4E">
        <w:t xml:space="preserve">Dans le cadre d’un projet de création d’activité, la césure s’inscrit dans le dispositif de « l’étudiant-entrepreneur ». Ce statut est obtenu auprès des </w:t>
      </w:r>
      <w:hyperlink r:id="rId9" w:tooltip="pôles étudiants pour l’innovation, le transfert et l’entrepreneuriat (pépite) (nouvelle fenêtre)" w:history="1">
        <w:r w:rsidRPr="004F2D4E">
          <w:rPr>
            <w:rStyle w:val="Lienhypertexte"/>
            <w:color w:val="auto"/>
            <w:u w:val="none"/>
          </w:rPr>
          <w:t>Pôles étudiants pour l’innovation, le transfert et l’entrepreneuriat (Pépite)</w:t>
        </w:r>
      </w:hyperlink>
      <w:r w:rsidR="00F44DEA">
        <w:t xml:space="preserve">. Le Pépite </w:t>
      </w:r>
      <w:proofErr w:type="spellStart"/>
      <w:r w:rsidR="00F44DEA">
        <w:t>oZer</w:t>
      </w:r>
      <w:proofErr w:type="spellEnd"/>
      <w:r w:rsidRPr="004F2D4E">
        <w:t xml:space="preserve"> à Grenoble est porté par la COMUE UGA.</w:t>
      </w:r>
    </w:p>
    <w:p w14:paraId="2880C277" w14:textId="77777777" w:rsidR="000750C4" w:rsidRPr="000750C4" w:rsidRDefault="000750C4" w:rsidP="000750C4">
      <w:pPr>
        <w:pStyle w:val="Paragraphedeliste"/>
        <w:jc w:val="both"/>
        <w:rPr>
          <w:highlight w:val="yellow"/>
        </w:rPr>
      </w:pPr>
    </w:p>
    <w:p w14:paraId="6EB11DD4" w14:textId="77777777" w:rsidR="000750C4" w:rsidRPr="000750C4" w:rsidRDefault="00B6564E" w:rsidP="000750C4">
      <w:pPr>
        <w:pStyle w:val="Paragraphedeliste"/>
        <w:numPr>
          <w:ilvl w:val="0"/>
          <w:numId w:val="14"/>
        </w:numPr>
        <w:jc w:val="both"/>
        <w:rPr>
          <w:b/>
          <w:u w:val="single"/>
        </w:rPr>
      </w:pPr>
      <w:r>
        <w:rPr>
          <w:b/>
          <w:u w:val="single"/>
        </w:rPr>
        <w:t>La demande de césure</w:t>
      </w:r>
    </w:p>
    <w:p w14:paraId="1BD23C9D" w14:textId="77777777" w:rsidR="00012D7B" w:rsidRDefault="001E4178" w:rsidP="00012D7B">
      <w:pPr>
        <w:jc w:val="both"/>
        <w:rPr>
          <w:b/>
        </w:rPr>
      </w:pPr>
      <w:r>
        <w:rPr>
          <w:b/>
        </w:rPr>
        <w:t xml:space="preserve">2.1 - </w:t>
      </w:r>
      <w:r w:rsidR="00971024" w:rsidRPr="00012D7B">
        <w:rPr>
          <w:b/>
        </w:rPr>
        <w:t xml:space="preserve">La </w:t>
      </w:r>
      <w:r w:rsidR="00AA2BAA" w:rsidRPr="00012D7B">
        <w:rPr>
          <w:b/>
        </w:rPr>
        <w:t xml:space="preserve">formulation de la </w:t>
      </w:r>
      <w:r w:rsidR="00CB06DC">
        <w:rPr>
          <w:b/>
        </w:rPr>
        <w:t>demande de césure</w:t>
      </w:r>
    </w:p>
    <w:p w14:paraId="6B6C0A68" w14:textId="5F568CA9" w:rsidR="00B6564E" w:rsidRDefault="00B6564E" w:rsidP="00012D7B">
      <w:pPr>
        <w:jc w:val="both"/>
        <w:rPr>
          <w:b/>
        </w:rPr>
      </w:pPr>
      <w:r w:rsidRPr="00B6564E">
        <w:t xml:space="preserve">Tout projet de césure est </w:t>
      </w:r>
      <w:r>
        <w:t>soumis à l'approbation d</w:t>
      </w:r>
      <w:r w:rsidR="003C37C8">
        <w:t>u</w:t>
      </w:r>
      <w:r>
        <w:t xml:space="preserve"> </w:t>
      </w:r>
      <w:r w:rsidR="00CB20CB">
        <w:t xml:space="preserve">Président de l’université et par délégation au </w:t>
      </w:r>
      <w:r w:rsidR="003F345D">
        <w:t>directeur</w:t>
      </w:r>
      <w:r w:rsidR="00CB20CB">
        <w:t xml:space="preserve"> de composante.</w:t>
      </w:r>
    </w:p>
    <w:p w14:paraId="2AD81A8A" w14:textId="44EEA49A" w:rsidR="00012D7B" w:rsidRDefault="00AC355D" w:rsidP="0079703A">
      <w:pPr>
        <w:pStyle w:val="Paragraphedeliste"/>
        <w:numPr>
          <w:ilvl w:val="0"/>
          <w:numId w:val="17"/>
        </w:numPr>
        <w:jc w:val="both"/>
      </w:pPr>
      <w:r>
        <w:t>L’étudiant</w:t>
      </w:r>
      <w:r w:rsidR="00927AF2">
        <w:t xml:space="preserve"> </w:t>
      </w:r>
      <w:r>
        <w:t xml:space="preserve">qui sollicite une césure doit remplir le </w:t>
      </w:r>
      <w:r w:rsidR="00012D7B" w:rsidRPr="00012D7B">
        <w:t>formula</w:t>
      </w:r>
      <w:r>
        <w:t>ire de demande de césure</w:t>
      </w:r>
      <w:r w:rsidR="002E19D4">
        <w:t>.</w:t>
      </w:r>
    </w:p>
    <w:p w14:paraId="00F33ADE" w14:textId="77777777" w:rsidR="002E19D4" w:rsidRDefault="002E19D4" w:rsidP="002E19D4">
      <w:pPr>
        <w:pStyle w:val="Paragraphedeliste"/>
        <w:jc w:val="both"/>
      </w:pPr>
    </w:p>
    <w:p w14:paraId="3F7EE332" w14:textId="07B4177C" w:rsidR="00012D7B" w:rsidRPr="002E19D4" w:rsidRDefault="00AC355D" w:rsidP="0079703A">
      <w:pPr>
        <w:pStyle w:val="Paragraphedeliste"/>
        <w:numPr>
          <w:ilvl w:val="0"/>
          <w:numId w:val="17"/>
        </w:numPr>
        <w:jc w:val="both"/>
        <w:rPr>
          <w:strike/>
        </w:rPr>
      </w:pPr>
      <w:r>
        <w:t xml:space="preserve">La demande doit être déposée auprès du service scolarité de </w:t>
      </w:r>
      <w:r w:rsidR="00CB20CB">
        <w:t>la formation intégrée à l’</w:t>
      </w:r>
      <w:r w:rsidR="00DB7D33">
        <w:t>issue de la césure,</w:t>
      </w:r>
      <w:r w:rsidR="00DB7D33" w:rsidRPr="0079703A">
        <w:rPr>
          <w:color w:val="FF0000"/>
        </w:rPr>
        <w:t xml:space="preserve"> </w:t>
      </w:r>
      <w:r w:rsidR="00DB7D33" w:rsidRPr="002D378D">
        <w:t>selon le calendri</w:t>
      </w:r>
      <w:r w:rsidR="009B769D">
        <w:t xml:space="preserve">er défini par chaque composante (en tenant </w:t>
      </w:r>
      <w:r w:rsidR="009B769D" w:rsidRPr="009B769D">
        <w:t xml:space="preserve">compte du calendrier de la procédure nationale de préinscription </w:t>
      </w:r>
      <w:proofErr w:type="spellStart"/>
      <w:r w:rsidR="009B769D" w:rsidRPr="009B769D">
        <w:t>Pa</w:t>
      </w:r>
      <w:r w:rsidR="002E19D4">
        <w:t>rcoursup</w:t>
      </w:r>
      <w:proofErr w:type="spellEnd"/>
      <w:r w:rsidR="002E19D4">
        <w:t xml:space="preserve"> (cf. article D.611-17).</w:t>
      </w:r>
    </w:p>
    <w:p w14:paraId="0E25F646" w14:textId="77777777" w:rsidR="002E19D4" w:rsidRPr="00862B5A" w:rsidRDefault="002E19D4" w:rsidP="002E19D4">
      <w:pPr>
        <w:pStyle w:val="Paragraphedeliste"/>
        <w:jc w:val="both"/>
        <w:rPr>
          <w:strike/>
        </w:rPr>
      </w:pPr>
    </w:p>
    <w:p w14:paraId="5D02894B" w14:textId="22F593F1" w:rsidR="00346F6D" w:rsidRPr="002D378D" w:rsidRDefault="00346F6D" w:rsidP="00346F6D">
      <w:pPr>
        <w:pStyle w:val="Paragraphedeliste"/>
        <w:numPr>
          <w:ilvl w:val="0"/>
          <w:numId w:val="17"/>
        </w:numPr>
        <w:jc w:val="both"/>
        <w:rPr>
          <w:strike/>
        </w:rPr>
      </w:pPr>
      <w:r w:rsidRPr="002D378D">
        <w:t>Un accusé de réception de sa demande lui sera remis</w:t>
      </w:r>
      <w:r w:rsidR="002E19D4">
        <w:t>.</w:t>
      </w:r>
      <w:r w:rsidRPr="002D378D">
        <w:t xml:space="preserve"> </w:t>
      </w:r>
    </w:p>
    <w:p w14:paraId="42393840" w14:textId="77777777" w:rsidR="002E19D4" w:rsidRDefault="002E19D4" w:rsidP="0068507E">
      <w:pPr>
        <w:spacing w:after="0"/>
        <w:jc w:val="both"/>
        <w:rPr>
          <w:rFonts w:cs="Arial"/>
        </w:rPr>
      </w:pPr>
    </w:p>
    <w:p w14:paraId="484404BA" w14:textId="11ED0188" w:rsidR="0068507E" w:rsidRDefault="0068507E" w:rsidP="0068507E">
      <w:pPr>
        <w:spacing w:after="0"/>
        <w:jc w:val="both"/>
        <w:rPr>
          <w:rFonts w:cs="Arial"/>
        </w:rPr>
      </w:pPr>
      <w:r w:rsidRPr="004D6CF4">
        <w:rPr>
          <w:rFonts w:cs="Arial"/>
          <w:highlight w:val="yellow"/>
        </w:rPr>
        <w:t>La procédu</w:t>
      </w:r>
      <w:r w:rsidR="00346F6D" w:rsidRPr="004D6CF4">
        <w:rPr>
          <w:rFonts w:cs="Arial"/>
          <w:highlight w:val="yellow"/>
        </w:rPr>
        <w:t xml:space="preserve">re </w:t>
      </w:r>
      <w:proofErr w:type="spellStart"/>
      <w:r w:rsidR="00346F6D" w:rsidRPr="004D6CF4">
        <w:rPr>
          <w:rFonts w:cs="Arial"/>
          <w:highlight w:val="yellow"/>
        </w:rPr>
        <w:t>Parcoursup</w:t>
      </w:r>
      <w:proofErr w:type="spellEnd"/>
      <w:r w:rsidR="00346F6D" w:rsidRPr="004D6CF4">
        <w:rPr>
          <w:rFonts w:cs="Arial"/>
          <w:highlight w:val="yellow"/>
        </w:rPr>
        <w:t xml:space="preserve"> permet </w:t>
      </w:r>
      <w:r w:rsidR="009B769D" w:rsidRPr="004D6CF4">
        <w:rPr>
          <w:rFonts w:cs="Arial"/>
          <w:highlight w:val="yellow"/>
        </w:rPr>
        <w:t xml:space="preserve">uniquement </w:t>
      </w:r>
      <w:r w:rsidR="00927AF2" w:rsidRPr="004D6CF4">
        <w:rPr>
          <w:rFonts w:cs="Arial"/>
          <w:highlight w:val="yellow"/>
        </w:rPr>
        <w:t>à l’étudiant</w:t>
      </w:r>
      <w:r w:rsidRPr="004D6CF4">
        <w:rPr>
          <w:rFonts w:cs="Arial"/>
          <w:highlight w:val="yellow"/>
        </w:rPr>
        <w:t xml:space="preserve"> qui souhaite débuter une césure dès l’entrée dans l’enseignement supérieur de </w:t>
      </w:r>
      <w:r w:rsidR="00346F6D" w:rsidRPr="004D6CF4">
        <w:rPr>
          <w:rFonts w:cs="Arial"/>
          <w:highlight w:val="yellow"/>
        </w:rPr>
        <w:t>formuler une pré-demande de césure,</w:t>
      </w:r>
      <w:r w:rsidRPr="004D6CF4">
        <w:rPr>
          <w:rFonts w:cs="Arial"/>
          <w:highlight w:val="yellow"/>
        </w:rPr>
        <w:t xml:space="preserve"> une fois qu’i</w:t>
      </w:r>
      <w:r w:rsidR="00927AF2" w:rsidRPr="004D6CF4">
        <w:rPr>
          <w:rFonts w:cs="Arial"/>
          <w:highlight w:val="yellow"/>
        </w:rPr>
        <w:t>l</w:t>
      </w:r>
      <w:r w:rsidRPr="004D6CF4">
        <w:rPr>
          <w:rFonts w:cs="Arial"/>
          <w:highlight w:val="yellow"/>
        </w:rPr>
        <w:t xml:space="preserve"> a accepté la proposition d’inscription faite par l’établissement.</w:t>
      </w:r>
      <w:r w:rsidR="00346F6D" w:rsidRPr="004D6CF4">
        <w:rPr>
          <w:rFonts w:cs="Arial"/>
          <w:highlight w:val="yellow"/>
        </w:rPr>
        <w:t xml:space="preserve"> Cette pré-demande doit être suivie de la procédure de demande de césure propre à l’UGA et commune à tous</w:t>
      </w:r>
      <w:r w:rsidR="009B769D" w:rsidRPr="004D6CF4">
        <w:rPr>
          <w:rFonts w:cs="Arial"/>
          <w:highlight w:val="yellow"/>
        </w:rPr>
        <w:t xml:space="preserve"> </w:t>
      </w:r>
      <w:r w:rsidR="00927AF2" w:rsidRPr="004D6CF4">
        <w:rPr>
          <w:rFonts w:cs="Arial"/>
          <w:highlight w:val="yellow"/>
        </w:rPr>
        <w:t>les étudiants.</w:t>
      </w:r>
    </w:p>
    <w:p w14:paraId="77B88B82" w14:textId="77777777" w:rsidR="002D165E" w:rsidRPr="0068507E" w:rsidRDefault="002D165E" w:rsidP="0068507E">
      <w:pPr>
        <w:spacing w:after="0"/>
        <w:jc w:val="both"/>
        <w:rPr>
          <w:rFonts w:cs="Arial"/>
        </w:rPr>
      </w:pPr>
    </w:p>
    <w:p w14:paraId="6DE55B74" w14:textId="3F322BBC" w:rsidR="00604BA7" w:rsidRDefault="00604BA7" w:rsidP="00604BA7">
      <w:pPr>
        <w:jc w:val="both"/>
      </w:pPr>
      <w:r>
        <w:sym w:font="Webdings" w:char="F069"/>
      </w:r>
      <w:r>
        <w:t xml:space="preserve"> </w:t>
      </w:r>
      <w:r w:rsidRPr="00431830">
        <w:t>Rappel</w:t>
      </w:r>
      <w:r>
        <w:t xml:space="preserve"> « </w:t>
      </w:r>
      <w:r w:rsidRPr="00431830">
        <w:t>Silence Vaut Acceptation</w:t>
      </w:r>
      <w:r>
        <w:t> »</w:t>
      </w:r>
      <w:r w:rsidRPr="00431830">
        <w:t xml:space="preserve"> : les réponses </w:t>
      </w:r>
      <w:r w:rsidR="006D191F">
        <w:t>aux</w:t>
      </w:r>
      <w:r w:rsidRPr="00431830">
        <w:t xml:space="preserve"> demandes de césure doivent intervenir </w:t>
      </w:r>
      <w:r>
        <w:t>dans les</w:t>
      </w:r>
      <w:r w:rsidRPr="00431830">
        <w:t xml:space="preserve"> 2 mois </w:t>
      </w:r>
      <w:r>
        <w:t xml:space="preserve">suivant </w:t>
      </w:r>
      <w:r w:rsidRPr="00431830">
        <w:t>la demande. A défaut, la décision sera réputée favorable.</w:t>
      </w:r>
    </w:p>
    <w:p w14:paraId="35756F83" w14:textId="282FD5D4" w:rsidR="009B769D" w:rsidRPr="00D430EF" w:rsidRDefault="000750C4" w:rsidP="00604BA7">
      <w:pPr>
        <w:jc w:val="both"/>
        <w:rPr>
          <w:b/>
        </w:rPr>
      </w:pPr>
      <w:r>
        <w:sym w:font="Webdings" w:char="F069"/>
      </w:r>
      <w:r>
        <w:t xml:space="preserve"> </w:t>
      </w:r>
      <w:r w:rsidR="00012D7B" w:rsidRPr="00D430EF">
        <w:rPr>
          <w:b/>
        </w:rPr>
        <w:t xml:space="preserve">Aucune demande de césure ne </w:t>
      </w:r>
      <w:r w:rsidRPr="00D430EF">
        <w:rPr>
          <w:b/>
        </w:rPr>
        <w:t>sera prise en compte si elle est présentée</w:t>
      </w:r>
      <w:r w:rsidR="00012D7B" w:rsidRPr="00D430EF">
        <w:rPr>
          <w:b/>
        </w:rPr>
        <w:t xml:space="preserve"> après le début des enseignements.</w:t>
      </w:r>
    </w:p>
    <w:p w14:paraId="7A9CA728" w14:textId="77777777" w:rsidR="00012D7B" w:rsidRDefault="0079703A" w:rsidP="0079703A">
      <w:pPr>
        <w:pStyle w:val="Paragraphedeliste"/>
        <w:numPr>
          <w:ilvl w:val="0"/>
          <w:numId w:val="18"/>
        </w:numPr>
        <w:jc w:val="both"/>
      </w:pPr>
      <w:r>
        <w:t>Pièces à joindre à toute demande de césure</w:t>
      </w:r>
      <w:r w:rsidR="00012D7B">
        <w:t xml:space="preserve">: </w:t>
      </w:r>
    </w:p>
    <w:p w14:paraId="66C5AA42" w14:textId="7543D339" w:rsidR="00AC355D" w:rsidRPr="002D378D" w:rsidRDefault="00012D7B" w:rsidP="00012D7B">
      <w:pPr>
        <w:pStyle w:val="Paragraphedeliste"/>
        <w:numPr>
          <w:ilvl w:val="1"/>
          <w:numId w:val="10"/>
        </w:numPr>
        <w:jc w:val="both"/>
      </w:pPr>
      <w:r w:rsidRPr="00AC355D">
        <w:t xml:space="preserve">Lettre de motivation </w:t>
      </w:r>
      <w:r w:rsidR="00AC355D" w:rsidRPr="00AC355D">
        <w:rPr>
          <w:rFonts w:cs="Arial"/>
        </w:rPr>
        <w:t xml:space="preserve">détaillant </w:t>
      </w:r>
      <w:r w:rsidR="00E15127" w:rsidRPr="002D378D">
        <w:rPr>
          <w:rFonts w:cs="Arial"/>
        </w:rPr>
        <w:t xml:space="preserve">la nature, les modalités de mise en œuvre et les objectifs du projet </w:t>
      </w:r>
      <w:r w:rsidR="00AC355D" w:rsidRPr="002D378D">
        <w:rPr>
          <w:rFonts w:cs="Arial"/>
        </w:rPr>
        <w:t>de la césure</w:t>
      </w:r>
      <w:r w:rsidR="00AC355D" w:rsidRPr="002D378D">
        <w:t xml:space="preserve"> </w:t>
      </w:r>
    </w:p>
    <w:p w14:paraId="48218237" w14:textId="2FE8F9EF" w:rsidR="00AC355D" w:rsidRPr="002D378D" w:rsidRDefault="00842006" w:rsidP="00012D7B">
      <w:pPr>
        <w:pStyle w:val="Paragraphedeliste"/>
        <w:numPr>
          <w:ilvl w:val="1"/>
          <w:numId w:val="10"/>
        </w:numPr>
        <w:jc w:val="both"/>
        <w:rPr>
          <w:strike/>
        </w:rPr>
      </w:pPr>
      <w:r w:rsidRPr="002D378D">
        <w:t xml:space="preserve">Relevés de notes de l’année en cours </w:t>
      </w:r>
      <w:r w:rsidR="00DA4DAE">
        <w:t>(pour les étudiants extérieurs)</w:t>
      </w:r>
    </w:p>
    <w:p w14:paraId="488D4276" w14:textId="77777777" w:rsidR="000C167B" w:rsidRPr="00EE3F12" w:rsidRDefault="00475F4D" w:rsidP="00475F4D">
      <w:pPr>
        <w:pStyle w:val="Paragraphedeliste"/>
        <w:widowControl w:val="0"/>
        <w:numPr>
          <w:ilvl w:val="1"/>
          <w:numId w:val="10"/>
        </w:numPr>
        <w:suppressAutoHyphens/>
        <w:autoSpaceDE w:val="0"/>
        <w:autoSpaceDN w:val="0"/>
        <w:adjustRightInd w:val="0"/>
        <w:spacing w:after="0"/>
        <w:ind w:right="55"/>
        <w:jc w:val="both"/>
        <w:rPr>
          <w:rFonts w:cs="Arial"/>
          <w:i/>
        </w:rPr>
      </w:pPr>
      <w:r w:rsidRPr="00EE3F12">
        <w:rPr>
          <w:rFonts w:cs="Arial"/>
        </w:rPr>
        <w:t>tout document permettant de préciser le projet, le cas échéant</w:t>
      </w:r>
    </w:p>
    <w:p w14:paraId="6E3B7178" w14:textId="77777777" w:rsidR="000C167B" w:rsidRPr="002D378D" w:rsidRDefault="000C167B" w:rsidP="000C167B">
      <w:pPr>
        <w:pStyle w:val="Paragraphedeliste"/>
        <w:ind w:left="1440"/>
        <w:jc w:val="both"/>
        <w:rPr>
          <w:strike/>
        </w:rPr>
      </w:pPr>
    </w:p>
    <w:p w14:paraId="3C132293" w14:textId="77777777" w:rsidR="00971024" w:rsidRPr="00971024" w:rsidRDefault="0030566F" w:rsidP="00723E0B">
      <w:pPr>
        <w:jc w:val="both"/>
        <w:rPr>
          <w:b/>
        </w:rPr>
      </w:pPr>
      <w:r>
        <w:rPr>
          <w:b/>
        </w:rPr>
        <w:t xml:space="preserve">2.2 - </w:t>
      </w:r>
      <w:r w:rsidR="00971024" w:rsidRPr="00971024">
        <w:rPr>
          <w:b/>
        </w:rPr>
        <w:t>L’acceptation de la césure</w:t>
      </w:r>
    </w:p>
    <w:p w14:paraId="72E31EC6" w14:textId="77777777" w:rsidR="007E0DA2" w:rsidRDefault="00842006" w:rsidP="00842006">
      <w:pPr>
        <w:jc w:val="both"/>
      </w:pPr>
      <w:r w:rsidRPr="00842006">
        <w:t xml:space="preserve">En cas d’acceptation de la césure, </w:t>
      </w:r>
      <w:r w:rsidR="00E71865">
        <w:t>le directeur de composante</w:t>
      </w:r>
      <w:r w:rsidRPr="00842006">
        <w:t xml:space="preserve"> signe avec l'étudiant un</w:t>
      </w:r>
      <w:r>
        <w:t xml:space="preserve"> </w:t>
      </w:r>
      <w:r w:rsidR="00E71865" w:rsidRPr="00EE3F12">
        <w:t xml:space="preserve">contrat pédagogique (nommé convention dans le </w:t>
      </w:r>
      <w:r w:rsidR="007E0DA2">
        <w:t>décret).</w:t>
      </w:r>
    </w:p>
    <w:p w14:paraId="4CDD2FFB" w14:textId="612546F1" w:rsidR="0043746A" w:rsidRPr="00E85629" w:rsidRDefault="007E0DA2" w:rsidP="00842006">
      <w:pPr>
        <w:jc w:val="both"/>
      </w:pPr>
      <w:r>
        <w:t xml:space="preserve">L’acceptation de la césure </w:t>
      </w:r>
      <w:r w:rsidR="00842006" w:rsidRPr="00E85629">
        <w:t xml:space="preserve">garantit </w:t>
      </w:r>
      <w:r>
        <w:t xml:space="preserve">à l’étudiant </w:t>
      </w:r>
      <w:r w:rsidR="00842006" w:rsidRPr="00E85629">
        <w:t>son inscription au sein de la formation dans l'année</w:t>
      </w:r>
      <w:r w:rsidR="00E71865" w:rsidRPr="00E85629">
        <w:t xml:space="preserve"> </w:t>
      </w:r>
      <w:r>
        <w:t xml:space="preserve">ou le semestre </w:t>
      </w:r>
      <w:r w:rsidR="00842006" w:rsidRPr="00E85629">
        <w:t xml:space="preserve">suivant </w:t>
      </w:r>
      <w:r>
        <w:t>sa période de césure</w:t>
      </w:r>
      <w:r w:rsidR="00842006" w:rsidRPr="00E85629">
        <w:t xml:space="preserve">. Cette garantie est valable y compris lorsqu'il s'agit de formations sélectives pour lesquelles l'université doit être en mesure de réserver une </w:t>
      </w:r>
      <w:r>
        <w:t>place</w:t>
      </w:r>
      <w:r w:rsidR="00842006" w:rsidRPr="00E85629">
        <w:t xml:space="preserve"> </w:t>
      </w:r>
      <w:r>
        <w:t>à l'étudiant lors de son retour</w:t>
      </w:r>
      <w:r w:rsidR="0043746A" w:rsidRPr="00E85629">
        <w:t>.</w:t>
      </w:r>
      <w:r>
        <w:t xml:space="preserve"> </w:t>
      </w:r>
    </w:p>
    <w:p w14:paraId="76649487" w14:textId="77777777" w:rsidR="009207D2" w:rsidRPr="008240A2" w:rsidRDefault="009207D2" w:rsidP="008240A2">
      <w:pPr>
        <w:pStyle w:val="Paragraphedeliste"/>
        <w:numPr>
          <w:ilvl w:val="0"/>
          <w:numId w:val="14"/>
        </w:numPr>
        <w:jc w:val="both"/>
        <w:rPr>
          <w:b/>
          <w:u w:val="single"/>
        </w:rPr>
      </w:pPr>
      <w:r w:rsidRPr="008240A2">
        <w:rPr>
          <w:b/>
          <w:u w:val="single"/>
        </w:rPr>
        <w:t>Mise en œuvre de la césure</w:t>
      </w:r>
    </w:p>
    <w:p w14:paraId="059FF73A" w14:textId="77777777" w:rsidR="008A3B23" w:rsidRDefault="008240A2" w:rsidP="008A3B23">
      <w:pPr>
        <w:jc w:val="both"/>
        <w:rPr>
          <w:b/>
        </w:rPr>
      </w:pPr>
      <w:r>
        <w:rPr>
          <w:b/>
        </w:rPr>
        <w:t>3</w:t>
      </w:r>
      <w:r w:rsidR="009A3688">
        <w:rPr>
          <w:b/>
        </w:rPr>
        <w:t xml:space="preserve">.1 - </w:t>
      </w:r>
      <w:r w:rsidR="009207D2">
        <w:rPr>
          <w:b/>
        </w:rPr>
        <w:t>Accompagnement pédagogique</w:t>
      </w:r>
    </w:p>
    <w:p w14:paraId="55C386E2" w14:textId="247B33DA" w:rsidR="00374AAF" w:rsidRDefault="004C37D2" w:rsidP="002E19D4">
      <w:pPr>
        <w:widowControl w:val="0"/>
        <w:autoSpaceDE w:val="0"/>
        <w:autoSpaceDN w:val="0"/>
        <w:adjustRightInd w:val="0"/>
        <w:spacing w:after="0" w:line="240" w:lineRule="auto"/>
        <w:jc w:val="both"/>
        <w:rPr>
          <w:rFonts w:cs="Arial"/>
        </w:rPr>
      </w:pPr>
      <w:r w:rsidRPr="004D6CF4">
        <w:rPr>
          <w:rFonts w:cs="Arial"/>
          <w:highlight w:val="yellow"/>
        </w:rPr>
        <w:t xml:space="preserve">L’établissement </w:t>
      </w:r>
      <w:r w:rsidR="007E0DA2" w:rsidRPr="004D6CF4">
        <w:rPr>
          <w:rFonts w:cs="Arial"/>
          <w:highlight w:val="yellow"/>
        </w:rPr>
        <w:t xml:space="preserve">doit </w:t>
      </w:r>
      <w:r w:rsidRPr="004D6CF4">
        <w:rPr>
          <w:rFonts w:cs="Arial"/>
          <w:highlight w:val="yellow"/>
        </w:rPr>
        <w:t>assure</w:t>
      </w:r>
      <w:r w:rsidR="007E0DA2" w:rsidRPr="004D6CF4">
        <w:rPr>
          <w:rFonts w:cs="Arial"/>
          <w:highlight w:val="yellow"/>
        </w:rPr>
        <w:t>r</w:t>
      </w:r>
      <w:r w:rsidRPr="004D6CF4">
        <w:rPr>
          <w:rFonts w:cs="Arial"/>
          <w:highlight w:val="yellow"/>
        </w:rPr>
        <w:t xml:space="preserve"> un encadrement pédagogique</w:t>
      </w:r>
      <w:r w:rsidRPr="007E0DA2">
        <w:rPr>
          <w:rFonts w:cs="Arial"/>
        </w:rPr>
        <w:t xml:space="preserve"> lors de la période de césure</w:t>
      </w:r>
      <w:r w:rsidR="007E0DA2">
        <w:rPr>
          <w:rFonts w:cs="Arial"/>
        </w:rPr>
        <w:t xml:space="preserve">. </w:t>
      </w:r>
      <w:r w:rsidR="00AF629F">
        <w:rPr>
          <w:rFonts w:cs="Arial"/>
        </w:rPr>
        <w:t>Cet accompagnement peut être organisé sous différentes formes : contacts téléphoniques, mails, rendez-vous, visite, etc.</w:t>
      </w:r>
    </w:p>
    <w:p w14:paraId="43E0A18A" w14:textId="77777777" w:rsidR="00374AAF" w:rsidRDefault="00374AAF" w:rsidP="004C37D2">
      <w:pPr>
        <w:widowControl w:val="0"/>
        <w:autoSpaceDE w:val="0"/>
        <w:autoSpaceDN w:val="0"/>
        <w:adjustRightInd w:val="0"/>
        <w:spacing w:after="0" w:line="240" w:lineRule="auto"/>
        <w:rPr>
          <w:rFonts w:cs="Arial"/>
        </w:rPr>
      </w:pPr>
    </w:p>
    <w:p w14:paraId="6A6E3E25" w14:textId="7D298F4A" w:rsidR="004C37D2" w:rsidRDefault="00374AAF" w:rsidP="004C37D2">
      <w:pPr>
        <w:widowControl w:val="0"/>
        <w:autoSpaceDE w:val="0"/>
        <w:autoSpaceDN w:val="0"/>
        <w:adjustRightInd w:val="0"/>
        <w:spacing w:after="0" w:line="240" w:lineRule="auto"/>
      </w:pPr>
      <w:r w:rsidRPr="007E0DA2">
        <w:rPr>
          <w:rFonts w:cs="Arial"/>
        </w:rPr>
        <w:t>L’établissement</w:t>
      </w:r>
      <w:r w:rsidR="007E0DA2">
        <w:rPr>
          <w:rFonts w:cs="Arial"/>
        </w:rPr>
        <w:t xml:space="preserve"> </w:t>
      </w:r>
      <w:r w:rsidR="004C37D2" w:rsidRPr="007E0DA2">
        <w:rPr>
          <w:rFonts w:cs="Arial"/>
        </w:rPr>
        <w:t>accompagne</w:t>
      </w:r>
      <w:r w:rsidR="007E0DA2">
        <w:rPr>
          <w:rFonts w:cs="Arial"/>
        </w:rPr>
        <w:t xml:space="preserve"> </w:t>
      </w:r>
      <w:r w:rsidR="004C37D2" w:rsidRPr="007E0DA2">
        <w:rPr>
          <w:rFonts w:cs="Arial"/>
        </w:rPr>
        <w:t>l’étudiant dans la préparation de cette période et pour l’établissement de son bilan</w:t>
      </w:r>
      <w:r w:rsidR="007E0DA2" w:rsidRPr="007E0DA2">
        <w:rPr>
          <w:rFonts w:cs="Arial"/>
        </w:rPr>
        <w:t xml:space="preserve"> </w:t>
      </w:r>
      <w:r>
        <w:rPr>
          <w:rFonts w:cs="Arial"/>
        </w:rPr>
        <w:t xml:space="preserve">de fin de césure (compétences acquises et </w:t>
      </w:r>
      <w:proofErr w:type="spellStart"/>
      <w:r>
        <w:rPr>
          <w:rFonts w:cs="Arial"/>
        </w:rPr>
        <w:t>ects</w:t>
      </w:r>
      <w:proofErr w:type="spellEnd"/>
      <w:r>
        <w:rPr>
          <w:rFonts w:cs="Arial"/>
        </w:rPr>
        <w:t xml:space="preserve"> accordés) </w:t>
      </w:r>
      <w:r w:rsidR="007E0DA2" w:rsidRPr="007E0DA2">
        <w:rPr>
          <w:rFonts w:cs="Arial"/>
        </w:rPr>
        <w:t xml:space="preserve">(cf. </w:t>
      </w:r>
      <w:r w:rsidR="007E0DA2" w:rsidRPr="007E0DA2">
        <w:t>article D.611-20).</w:t>
      </w:r>
    </w:p>
    <w:p w14:paraId="3B404E44" w14:textId="77777777" w:rsidR="001B5040" w:rsidRDefault="001B5040" w:rsidP="004C37D2">
      <w:pPr>
        <w:widowControl w:val="0"/>
        <w:autoSpaceDE w:val="0"/>
        <w:autoSpaceDN w:val="0"/>
        <w:adjustRightInd w:val="0"/>
        <w:spacing w:after="0" w:line="240" w:lineRule="auto"/>
      </w:pPr>
    </w:p>
    <w:p w14:paraId="2D0760EB" w14:textId="5B364206" w:rsidR="001B5040" w:rsidRPr="001B5040" w:rsidRDefault="001B5040" w:rsidP="004C37D2">
      <w:pPr>
        <w:widowControl w:val="0"/>
        <w:autoSpaceDE w:val="0"/>
        <w:autoSpaceDN w:val="0"/>
        <w:adjustRightInd w:val="0"/>
        <w:spacing w:after="0" w:line="240" w:lineRule="auto"/>
        <w:rPr>
          <w:rFonts w:cs="Arial"/>
          <w:b/>
        </w:rPr>
      </w:pPr>
      <w:r>
        <w:rPr>
          <w:b/>
        </w:rPr>
        <w:t>3.2 – Valorisation de la césure</w:t>
      </w:r>
    </w:p>
    <w:p w14:paraId="2252F027" w14:textId="77777777" w:rsidR="004C37D2" w:rsidRPr="007E0DA2" w:rsidRDefault="004C37D2" w:rsidP="004C37D2">
      <w:pPr>
        <w:widowControl w:val="0"/>
        <w:autoSpaceDE w:val="0"/>
        <w:autoSpaceDN w:val="0"/>
        <w:adjustRightInd w:val="0"/>
        <w:spacing w:after="0" w:line="240" w:lineRule="auto"/>
        <w:rPr>
          <w:rFonts w:cs="Arial"/>
        </w:rPr>
      </w:pPr>
      <w:r w:rsidRPr="007E0DA2">
        <w:rPr>
          <w:rFonts w:cs="Arial"/>
        </w:rPr>
        <w:t> </w:t>
      </w:r>
    </w:p>
    <w:p w14:paraId="357DBF94" w14:textId="77777777" w:rsidR="007C240E" w:rsidRPr="001B5040" w:rsidRDefault="007C240E" w:rsidP="001B5040">
      <w:pPr>
        <w:pStyle w:val="Paragraphedeliste"/>
        <w:numPr>
          <w:ilvl w:val="0"/>
          <w:numId w:val="23"/>
        </w:numPr>
        <w:spacing w:after="0" w:line="240" w:lineRule="auto"/>
        <w:jc w:val="both"/>
        <w:rPr>
          <w:rFonts w:eastAsia="Times New Roman" w:cs="Arial"/>
          <w:highlight w:val="cyan"/>
          <w:lang w:eastAsia="fr-FR"/>
        </w:rPr>
      </w:pPr>
      <w:r w:rsidRPr="001B5040">
        <w:rPr>
          <w:rFonts w:eastAsia="Times New Roman" w:cs="Arial"/>
          <w:highlight w:val="cyan"/>
          <w:shd w:val="clear" w:color="auto" w:fill="00FF00"/>
          <w:lang w:eastAsia="fr-FR"/>
        </w:rPr>
        <w:t>En lien avec la Direction de l’Orientation de et l’Insertion Professionnelle, l’étudiant peut valoriser ses expériences notamment en utilisant les « fiches bilan » de son Portefeuille d’Expériences et de Compétences (</w:t>
      </w:r>
      <w:proofErr w:type="gramStart"/>
      <w:r w:rsidRPr="001B5040">
        <w:rPr>
          <w:rFonts w:eastAsia="Times New Roman" w:cs="Arial"/>
          <w:highlight w:val="cyan"/>
          <w:shd w:val="clear" w:color="auto" w:fill="00FF00"/>
          <w:lang w:eastAsia="fr-FR"/>
        </w:rPr>
        <w:t>PEC )</w:t>
      </w:r>
      <w:proofErr w:type="gramEnd"/>
      <w:r w:rsidRPr="001B5040">
        <w:rPr>
          <w:rFonts w:eastAsia="Times New Roman" w:cs="Arial"/>
          <w:highlight w:val="cyan"/>
          <w:shd w:val="clear" w:color="auto" w:fill="00FF00"/>
          <w:lang w:eastAsia="fr-FR"/>
        </w:rPr>
        <w:t>.</w:t>
      </w:r>
      <w:r w:rsidRPr="001B5040">
        <w:rPr>
          <w:rFonts w:eastAsia="Times New Roman" w:cs="Arial"/>
          <w:highlight w:val="cyan"/>
          <w:lang w:eastAsia="fr-FR"/>
        </w:rPr>
        <w:t xml:space="preserve"> </w:t>
      </w:r>
    </w:p>
    <w:p w14:paraId="342B52B4" w14:textId="77777777" w:rsidR="007C240E" w:rsidRPr="00B9607F" w:rsidRDefault="007C240E" w:rsidP="007C240E">
      <w:pPr>
        <w:spacing w:after="0" w:line="240" w:lineRule="auto"/>
        <w:jc w:val="both"/>
        <w:rPr>
          <w:rFonts w:eastAsia="Times New Roman" w:cs="Arial"/>
          <w:highlight w:val="cyan"/>
          <w:lang w:eastAsia="fr-FR"/>
        </w:rPr>
      </w:pPr>
    </w:p>
    <w:p w14:paraId="6B20771C" w14:textId="77777777" w:rsidR="001B5040" w:rsidRDefault="001B5040" w:rsidP="007C240E">
      <w:pPr>
        <w:spacing w:after="0" w:line="240" w:lineRule="auto"/>
        <w:jc w:val="both"/>
        <w:rPr>
          <w:rFonts w:eastAsia="Times New Roman" w:cs="Arial"/>
          <w:highlight w:val="cyan"/>
          <w:lang w:eastAsia="fr-FR"/>
        </w:rPr>
      </w:pPr>
    </w:p>
    <w:p w14:paraId="57865A57" w14:textId="77777777" w:rsidR="001B5040" w:rsidRDefault="001B5040" w:rsidP="007C240E">
      <w:pPr>
        <w:spacing w:after="0" w:line="240" w:lineRule="auto"/>
        <w:jc w:val="both"/>
        <w:rPr>
          <w:rFonts w:eastAsia="Times New Roman" w:cs="Arial"/>
          <w:highlight w:val="cyan"/>
          <w:lang w:eastAsia="fr-FR"/>
        </w:rPr>
      </w:pPr>
    </w:p>
    <w:p w14:paraId="5844AE78" w14:textId="77777777" w:rsidR="001B5040" w:rsidRDefault="001B5040" w:rsidP="007C240E">
      <w:pPr>
        <w:spacing w:after="0" w:line="240" w:lineRule="auto"/>
        <w:jc w:val="both"/>
        <w:rPr>
          <w:rFonts w:eastAsia="Times New Roman" w:cs="Arial"/>
          <w:highlight w:val="cyan"/>
          <w:lang w:eastAsia="fr-FR"/>
        </w:rPr>
      </w:pPr>
    </w:p>
    <w:p w14:paraId="7D10973B" w14:textId="77777777" w:rsidR="007C240E" w:rsidRDefault="007C240E" w:rsidP="007C240E">
      <w:pPr>
        <w:spacing w:after="0" w:line="240" w:lineRule="auto"/>
        <w:jc w:val="both"/>
        <w:rPr>
          <w:rFonts w:eastAsia="Times New Roman" w:cs="Arial"/>
          <w:lang w:eastAsia="fr-FR"/>
        </w:rPr>
      </w:pPr>
      <w:r w:rsidRPr="00B9607F">
        <w:rPr>
          <w:rFonts w:eastAsia="Times New Roman" w:cs="Arial"/>
          <w:highlight w:val="cyan"/>
          <w:lang w:eastAsia="fr-FR"/>
        </w:rPr>
        <w:t xml:space="preserve">Les éléments ainsi formalisés </w:t>
      </w:r>
      <w:r w:rsidRPr="00B9607F">
        <w:rPr>
          <w:rFonts w:eastAsia="Times New Roman" w:cs="Arial"/>
          <w:highlight w:val="cyan"/>
          <w:shd w:val="clear" w:color="auto" w:fill="00FF00"/>
          <w:lang w:eastAsia="fr-FR"/>
        </w:rPr>
        <w:t>pourront être proposés aux enseignants référents pour validation et</w:t>
      </w:r>
      <w:r w:rsidRPr="00B9607F">
        <w:rPr>
          <w:rFonts w:eastAsia="Times New Roman" w:cs="Arial"/>
          <w:highlight w:val="cyan"/>
          <w:lang w:eastAsia="fr-FR"/>
        </w:rPr>
        <w:t xml:space="preserve"> portés au supplément au diplôme.</w:t>
      </w:r>
    </w:p>
    <w:p w14:paraId="5E929A8F" w14:textId="77777777" w:rsidR="00F74913" w:rsidRDefault="00F74913" w:rsidP="007C240E">
      <w:pPr>
        <w:spacing w:after="0" w:line="240" w:lineRule="auto"/>
        <w:jc w:val="both"/>
        <w:rPr>
          <w:rFonts w:eastAsia="Times New Roman" w:cs="Arial"/>
          <w:lang w:eastAsia="fr-FR"/>
        </w:rPr>
      </w:pPr>
    </w:p>
    <w:p w14:paraId="394041A8" w14:textId="77777777" w:rsidR="00F74913" w:rsidRPr="007C240E" w:rsidRDefault="00F74913" w:rsidP="007C240E">
      <w:pPr>
        <w:spacing w:after="0" w:line="240" w:lineRule="auto"/>
        <w:jc w:val="both"/>
        <w:rPr>
          <w:rFonts w:eastAsia="Times New Roman" w:cs="Arial"/>
          <w:lang w:eastAsia="fr-FR"/>
        </w:rPr>
      </w:pPr>
    </w:p>
    <w:p w14:paraId="6AE4DB3F" w14:textId="77777777" w:rsidR="00433AF4" w:rsidRPr="001B5040" w:rsidRDefault="00A603DF" w:rsidP="001B5040">
      <w:pPr>
        <w:pStyle w:val="Paragraphedeliste"/>
        <w:widowControl w:val="0"/>
        <w:numPr>
          <w:ilvl w:val="0"/>
          <w:numId w:val="23"/>
        </w:numPr>
        <w:autoSpaceDE w:val="0"/>
        <w:autoSpaceDN w:val="0"/>
        <w:adjustRightInd w:val="0"/>
        <w:spacing w:after="0" w:line="240" w:lineRule="auto"/>
        <w:rPr>
          <w:rFonts w:cs="Arial"/>
        </w:rPr>
      </w:pPr>
      <w:r w:rsidRPr="001B5040">
        <w:rPr>
          <w:rFonts w:cs="Arial"/>
        </w:rPr>
        <w:t>L</w:t>
      </w:r>
      <w:r w:rsidR="004C37D2" w:rsidRPr="001B5040">
        <w:rPr>
          <w:rFonts w:cs="Arial"/>
        </w:rPr>
        <w:t xml:space="preserve">a césure </w:t>
      </w:r>
      <w:r w:rsidRPr="001B5040">
        <w:rPr>
          <w:rFonts w:cs="Arial"/>
        </w:rPr>
        <w:t xml:space="preserve">peut </w:t>
      </w:r>
      <w:r w:rsidR="004C37D2" w:rsidRPr="001B5040">
        <w:rPr>
          <w:rFonts w:cs="Arial"/>
        </w:rPr>
        <w:t>donne</w:t>
      </w:r>
      <w:r w:rsidRPr="001B5040">
        <w:rPr>
          <w:rFonts w:cs="Arial"/>
        </w:rPr>
        <w:t>r</w:t>
      </w:r>
      <w:r w:rsidR="004C37D2" w:rsidRPr="001B5040">
        <w:rPr>
          <w:rFonts w:cs="Arial"/>
        </w:rPr>
        <w:t xml:space="preserve"> lieu à l’attribution </w:t>
      </w:r>
      <w:r w:rsidRPr="001B5040">
        <w:rPr>
          <w:rFonts w:cs="Arial"/>
        </w:rPr>
        <w:t>d’ECTS</w:t>
      </w:r>
      <w:r w:rsidR="004C37D2" w:rsidRPr="001B5040">
        <w:rPr>
          <w:rFonts w:cs="Arial"/>
        </w:rPr>
        <w:t xml:space="preserve"> c</w:t>
      </w:r>
      <w:r w:rsidRPr="001B5040">
        <w:rPr>
          <w:rFonts w:cs="Arial"/>
        </w:rPr>
        <w:t>apitalisables et transférables.</w:t>
      </w:r>
      <w:r w:rsidR="00D51AD1" w:rsidRPr="001B5040">
        <w:rPr>
          <w:rFonts w:cs="Arial"/>
        </w:rPr>
        <w:t xml:space="preserve"> </w:t>
      </w:r>
    </w:p>
    <w:p w14:paraId="0B3D537E" w14:textId="77777777" w:rsidR="00433AF4" w:rsidRDefault="00433AF4" w:rsidP="004C37D2">
      <w:pPr>
        <w:widowControl w:val="0"/>
        <w:autoSpaceDE w:val="0"/>
        <w:autoSpaceDN w:val="0"/>
        <w:adjustRightInd w:val="0"/>
        <w:spacing w:after="0" w:line="240" w:lineRule="auto"/>
        <w:rPr>
          <w:rFonts w:cs="Arial"/>
        </w:rPr>
      </w:pPr>
    </w:p>
    <w:p w14:paraId="26876707" w14:textId="68BBE497" w:rsidR="004C37D2" w:rsidRPr="00A603DF" w:rsidRDefault="00D51AD1" w:rsidP="004C37D2">
      <w:pPr>
        <w:widowControl w:val="0"/>
        <w:autoSpaceDE w:val="0"/>
        <w:autoSpaceDN w:val="0"/>
        <w:adjustRightInd w:val="0"/>
        <w:spacing w:after="0" w:line="240" w:lineRule="auto"/>
        <w:rPr>
          <w:rFonts w:cs="Arial"/>
        </w:rPr>
      </w:pPr>
      <w:r>
        <w:rPr>
          <w:rFonts w:cs="Arial"/>
        </w:rPr>
        <w:t>Ceux-ci s’ajoutent au nombre total de crédits européens  délivrés à l’issue de la formation.</w:t>
      </w:r>
    </w:p>
    <w:p w14:paraId="76D86384" w14:textId="77777777" w:rsidR="002E19D4" w:rsidRDefault="004C37D2" w:rsidP="004C37D2">
      <w:pPr>
        <w:widowControl w:val="0"/>
        <w:autoSpaceDE w:val="0"/>
        <w:autoSpaceDN w:val="0"/>
        <w:adjustRightInd w:val="0"/>
        <w:spacing w:after="0" w:line="240" w:lineRule="auto"/>
        <w:rPr>
          <w:rFonts w:cs="Arial"/>
        </w:rPr>
      </w:pPr>
      <w:r w:rsidRPr="00A603DF">
        <w:rPr>
          <w:rFonts w:cs="Arial"/>
        </w:rPr>
        <w:t> </w:t>
      </w:r>
    </w:p>
    <w:p w14:paraId="475BAC41" w14:textId="41D07178" w:rsidR="004C37D2" w:rsidRDefault="00A603DF" w:rsidP="002E19D4">
      <w:pPr>
        <w:widowControl w:val="0"/>
        <w:autoSpaceDE w:val="0"/>
        <w:autoSpaceDN w:val="0"/>
        <w:adjustRightInd w:val="0"/>
        <w:spacing w:after="0" w:line="240" w:lineRule="auto"/>
        <w:jc w:val="both"/>
        <w:rPr>
          <w:rFonts w:cs="Arial"/>
        </w:rPr>
      </w:pPr>
      <w:r w:rsidRPr="00A603DF">
        <w:rPr>
          <w:rFonts w:cs="Arial"/>
        </w:rPr>
        <w:t>Ces crédits peuvent faciliter</w:t>
      </w:r>
      <w:r w:rsidR="004C37D2" w:rsidRPr="00A603DF">
        <w:rPr>
          <w:rFonts w:cs="Arial"/>
        </w:rPr>
        <w:t xml:space="preserve"> la réorientation de l’étudiant vers un cursus de formation différent de celui qu’il suivait avant sa césure. </w:t>
      </w:r>
    </w:p>
    <w:p w14:paraId="749DD59E" w14:textId="77777777" w:rsidR="002E19D4" w:rsidRPr="002E19D4" w:rsidRDefault="002E19D4" w:rsidP="002E19D4">
      <w:pPr>
        <w:widowControl w:val="0"/>
        <w:autoSpaceDE w:val="0"/>
        <w:autoSpaceDN w:val="0"/>
        <w:adjustRightInd w:val="0"/>
        <w:spacing w:after="0" w:line="240" w:lineRule="auto"/>
        <w:jc w:val="both"/>
        <w:rPr>
          <w:rFonts w:cs="Arial"/>
        </w:rPr>
      </w:pPr>
    </w:p>
    <w:p w14:paraId="22EC14BA" w14:textId="77777777" w:rsidR="00456EF9" w:rsidRDefault="00456EF9" w:rsidP="009207D2">
      <w:pPr>
        <w:jc w:val="both"/>
        <w:rPr>
          <w:b/>
        </w:rPr>
      </w:pPr>
      <w:r w:rsidRPr="00456EF9">
        <w:rPr>
          <w:b/>
        </w:rPr>
        <w:t>3.3</w:t>
      </w:r>
      <w:r>
        <w:rPr>
          <w:b/>
        </w:rPr>
        <w:t xml:space="preserve"> – Interruption de la césure</w:t>
      </w:r>
    </w:p>
    <w:p w14:paraId="25C57F18" w14:textId="2E491FD3" w:rsidR="00456EF9" w:rsidRPr="008F118C" w:rsidRDefault="00711356" w:rsidP="009207D2">
      <w:pPr>
        <w:jc w:val="both"/>
      </w:pPr>
      <w:r w:rsidRPr="00EA1994">
        <w:rPr>
          <w:highlight w:val="yellow"/>
        </w:rPr>
        <w:t xml:space="preserve">Lorsque l’étudiant souhaite interrompre la période </w:t>
      </w:r>
      <w:r w:rsidR="008F118C" w:rsidRPr="00EA1994">
        <w:rPr>
          <w:highlight w:val="yellow"/>
        </w:rPr>
        <w:t>de césure avant le terme prévu</w:t>
      </w:r>
      <w:r w:rsidRPr="00EA1994">
        <w:rPr>
          <w:highlight w:val="yellow"/>
        </w:rPr>
        <w:t xml:space="preserve">, la réintégration dans la formation ne peut intervenir sans l’accord </w:t>
      </w:r>
      <w:r w:rsidR="008F118C" w:rsidRPr="00EA1994">
        <w:rPr>
          <w:highlight w:val="yellow"/>
        </w:rPr>
        <w:t>du directeur de la composante.</w:t>
      </w:r>
    </w:p>
    <w:p w14:paraId="1A47A637" w14:textId="6619041C" w:rsidR="00B530D3" w:rsidRPr="002E19D4" w:rsidRDefault="00A01676" w:rsidP="00A01676">
      <w:pPr>
        <w:jc w:val="both"/>
        <w:rPr>
          <w:b/>
        </w:rPr>
      </w:pPr>
      <w:r>
        <w:rPr>
          <w:b/>
        </w:rPr>
        <w:t>3.4-  Le</w:t>
      </w:r>
      <w:r w:rsidRPr="00971024">
        <w:rPr>
          <w:b/>
        </w:rPr>
        <w:t xml:space="preserve"> refus</w:t>
      </w:r>
      <w:r w:rsidRPr="00842006">
        <w:t xml:space="preserve"> </w:t>
      </w:r>
      <w:r w:rsidRPr="00842006">
        <w:rPr>
          <w:b/>
        </w:rPr>
        <w:t>de la césure</w:t>
      </w:r>
    </w:p>
    <w:p w14:paraId="181229AD" w14:textId="779FD9AA" w:rsidR="00A01676" w:rsidRPr="00E001D2" w:rsidRDefault="00A01676" w:rsidP="00A01676">
      <w:pPr>
        <w:jc w:val="both"/>
      </w:pPr>
      <w:r w:rsidRPr="00E001D2">
        <w:t xml:space="preserve">Tout refus de césure doit être </w:t>
      </w:r>
      <w:r w:rsidR="00B501C6" w:rsidRPr="00E001D2">
        <w:t>motivé</w:t>
      </w:r>
      <w:r w:rsidRPr="00E001D2">
        <w:t>.</w:t>
      </w:r>
    </w:p>
    <w:p w14:paraId="0BD598CF" w14:textId="7A2DCCE1" w:rsidR="00A01676" w:rsidRPr="00B63400" w:rsidRDefault="00A01676" w:rsidP="00A01676">
      <w:pPr>
        <w:jc w:val="both"/>
        <w:rPr>
          <w:color w:val="FF0000"/>
        </w:rPr>
      </w:pPr>
      <w:r w:rsidRPr="00E001D2">
        <w:t xml:space="preserve">En cas de </w:t>
      </w:r>
      <w:r w:rsidR="00B530D3" w:rsidRPr="00E001D2">
        <w:t>refus</w:t>
      </w:r>
      <w:r w:rsidRPr="00E001D2">
        <w:t xml:space="preserve"> de césure </w:t>
      </w:r>
      <w:r w:rsidR="00B530D3" w:rsidRPr="00E001D2">
        <w:t xml:space="preserve">ayant pour motif </w:t>
      </w:r>
      <w:r w:rsidRPr="00E001D2">
        <w:t>une lettre de motivation inadaptée, il est fortement conseillé de diriger l’étudiant demandeur vers la Direction de l’Orientation et de l’Insertion Professionnelle afin qu’il puisse bénéficier d’un accompagnement pour l’élaboration de son projet.</w:t>
      </w:r>
    </w:p>
    <w:p w14:paraId="09854867" w14:textId="77777777" w:rsidR="009337D6" w:rsidRDefault="009337D6" w:rsidP="009337D6">
      <w:pPr>
        <w:jc w:val="both"/>
        <w:rPr>
          <w:b/>
        </w:rPr>
      </w:pPr>
      <w:r>
        <w:rPr>
          <w:b/>
        </w:rPr>
        <w:t>4</w:t>
      </w:r>
      <w:r w:rsidR="009A3688">
        <w:rPr>
          <w:b/>
        </w:rPr>
        <w:t xml:space="preserve"> </w:t>
      </w:r>
      <w:r w:rsidR="00963A97">
        <w:rPr>
          <w:b/>
        </w:rPr>
        <w:t xml:space="preserve">– </w:t>
      </w:r>
      <w:r w:rsidR="009A3688">
        <w:rPr>
          <w:b/>
        </w:rPr>
        <w:t xml:space="preserve"> </w:t>
      </w:r>
      <w:r w:rsidR="00CB468A" w:rsidRPr="00963A97">
        <w:rPr>
          <w:b/>
          <w:u w:val="single"/>
        </w:rPr>
        <w:t>Inscription</w:t>
      </w:r>
    </w:p>
    <w:p w14:paraId="3B3B1EA1" w14:textId="7D5D5CCC" w:rsidR="00B501C6" w:rsidRDefault="00B501C6" w:rsidP="00B501C6">
      <w:pPr>
        <w:pStyle w:val="Paragraphedeliste"/>
        <w:ind w:left="0"/>
        <w:jc w:val="both"/>
      </w:pPr>
      <w:r>
        <w:t>L’étudiant</w:t>
      </w:r>
      <w:r w:rsidRPr="00CB468A">
        <w:t xml:space="preserve"> </w:t>
      </w:r>
      <w:r w:rsidR="008A033F">
        <w:t>doit se conformer au</w:t>
      </w:r>
      <w:r>
        <w:t xml:space="preserve"> calendrier et aux modalit</w:t>
      </w:r>
      <w:r w:rsidR="008A033F">
        <w:t>és pratiques d’inscription fixé</w:t>
      </w:r>
      <w:r>
        <w:t>s par l’établissement.</w:t>
      </w:r>
    </w:p>
    <w:p w14:paraId="60B1010A" w14:textId="77777777" w:rsidR="00B501C6" w:rsidRDefault="00B07DEE" w:rsidP="00B501C6">
      <w:pPr>
        <w:pStyle w:val="Paragraphedeliste"/>
        <w:ind w:left="0"/>
        <w:jc w:val="both"/>
      </w:pPr>
      <w:r>
        <w:t xml:space="preserve">Il est inscrit dans l’année supérieure de manière distincte des autres étudiants grâce à une variable spécifique dans Apogée afin de ne pas être comptabilisé comme </w:t>
      </w:r>
      <w:r w:rsidR="00B501C6">
        <w:t>étudiant en échec ou redoublant</w:t>
      </w:r>
      <w:r>
        <w:t xml:space="preserve">. </w:t>
      </w:r>
    </w:p>
    <w:p w14:paraId="01BDF58D" w14:textId="77777777" w:rsidR="008A033F" w:rsidRDefault="008A033F" w:rsidP="00B501C6">
      <w:pPr>
        <w:pStyle w:val="Paragraphedeliste"/>
        <w:ind w:left="0"/>
        <w:jc w:val="both"/>
      </w:pPr>
    </w:p>
    <w:p w14:paraId="400C94F7" w14:textId="3DBB9788" w:rsidR="00B501C6" w:rsidRDefault="00B501C6" w:rsidP="00B501C6">
      <w:pPr>
        <w:pStyle w:val="Paragraphedeliste"/>
        <w:ind w:left="0"/>
        <w:jc w:val="both"/>
      </w:pPr>
      <w:r>
        <w:t>Il se voit délivrer</w:t>
      </w:r>
      <w:r w:rsidRPr="00B07DEE">
        <w:t xml:space="preserve"> une carte d’étudiant.</w:t>
      </w:r>
    </w:p>
    <w:p w14:paraId="59374A85" w14:textId="6900F639" w:rsidR="00963A97" w:rsidRDefault="00963A97" w:rsidP="009337D6">
      <w:pPr>
        <w:jc w:val="both"/>
        <w:rPr>
          <w:b/>
        </w:rPr>
      </w:pPr>
      <w:r>
        <w:rPr>
          <w:b/>
        </w:rPr>
        <w:t>4.1- Montant des droits d’inscription</w:t>
      </w:r>
    </w:p>
    <w:p w14:paraId="56569E53" w14:textId="7B1B6EBB" w:rsidR="00854BC4" w:rsidRDefault="00293920" w:rsidP="00A31399">
      <w:pPr>
        <w:pStyle w:val="Paragraphedeliste"/>
        <w:ind w:left="0"/>
        <w:jc w:val="both"/>
        <w:rPr>
          <w:highlight w:val="yellow"/>
        </w:rPr>
      </w:pPr>
      <w:r>
        <w:rPr>
          <w:highlight w:val="yellow"/>
        </w:rPr>
        <w:t>Lorsque l</w:t>
      </w:r>
      <w:r w:rsidR="008508A8" w:rsidRPr="004D6CF4">
        <w:rPr>
          <w:highlight w:val="yellow"/>
        </w:rPr>
        <w:t>’étudiant</w:t>
      </w:r>
      <w:r>
        <w:rPr>
          <w:highlight w:val="yellow"/>
        </w:rPr>
        <w:t xml:space="preserve"> effectue une césure à  l’année il acquitte le droit</w:t>
      </w:r>
      <w:r w:rsidR="008508A8" w:rsidRPr="004D6CF4">
        <w:rPr>
          <w:highlight w:val="yellow"/>
        </w:rPr>
        <w:t xml:space="preserve"> de scolarité au </w:t>
      </w:r>
      <w:r w:rsidR="008508A8" w:rsidRPr="004D6CF4">
        <w:rPr>
          <w:b/>
          <w:highlight w:val="yellow"/>
        </w:rPr>
        <w:t>taux réduit</w:t>
      </w:r>
      <w:r w:rsidR="008508A8" w:rsidRPr="004D6CF4">
        <w:rPr>
          <w:highlight w:val="yellow"/>
        </w:rPr>
        <w:t xml:space="preserve"> prévu dans l’annexe de l’arrêté </w:t>
      </w:r>
      <w:r w:rsidR="00B07DEE" w:rsidRPr="004D6CF4">
        <w:rPr>
          <w:highlight w:val="yellow"/>
        </w:rPr>
        <w:t>fixant les droits de scolarité</w:t>
      </w:r>
      <w:r w:rsidR="00025303" w:rsidRPr="004D6CF4">
        <w:rPr>
          <w:highlight w:val="yellow"/>
        </w:rPr>
        <w:t>.</w:t>
      </w:r>
      <w:r w:rsidR="00B07DEE" w:rsidRPr="004D6CF4">
        <w:rPr>
          <w:highlight w:val="yellow"/>
        </w:rPr>
        <w:t xml:space="preserve"> </w:t>
      </w:r>
    </w:p>
    <w:p w14:paraId="1E557A93" w14:textId="10186B1B" w:rsidR="00293920" w:rsidRPr="00F74913" w:rsidRDefault="00293920" w:rsidP="00A31399">
      <w:pPr>
        <w:pStyle w:val="Paragraphedeliste"/>
        <w:ind w:left="0"/>
        <w:jc w:val="both"/>
        <w:rPr>
          <w:highlight w:val="yellow"/>
        </w:rPr>
      </w:pPr>
      <w:r w:rsidRPr="00F74913">
        <w:rPr>
          <w:highlight w:val="yellow"/>
        </w:rPr>
        <w:t>En cas de césure au semestre il acquitte le droit à taux plein.</w:t>
      </w:r>
    </w:p>
    <w:p w14:paraId="18113B2D" w14:textId="37A0C6E1" w:rsidR="008508A8" w:rsidRPr="00963A97" w:rsidRDefault="00854BC4" w:rsidP="00A31399">
      <w:pPr>
        <w:pStyle w:val="Paragraphedeliste"/>
        <w:ind w:left="0"/>
        <w:jc w:val="both"/>
      </w:pPr>
      <w:r w:rsidRPr="00F74913">
        <w:rPr>
          <w:highlight w:val="yellow"/>
        </w:rPr>
        <w:t>A ce</w:t>
      </w:r>
      <w:r w:rsidR="00B07DEE" w:rsidRPr="00F74913">
        <w:rPr>
          <w:highlight w:val="yellow"/>
        </w:rPr>
        <w:t>s</w:t>
      </w:r>
      <w:r w:rsidRPr="00F74913">
        <w:rPr>
          <w:highlight w:val="yellow"/>
        </w:rPr>
        <w:t xml:space="preserve"> droit</w:t>
      </w:r>
      <w:r w:rsidR="00B07DEE" w:rsidRPr="00F74913">
        <w:rPr>
          <w:highlight w:val="yellow"/>
        </w:rPr>
        <w:t>s</w:t>
      </w:r>
      <w:r w:rsidR="008E5711" w:rsidRPr="00F74913">
        <w:rPr>
          <w:highlight w:val="yellow"/>
        </w:rPr>
        <w:t xml:space="preserve"> s’ajoute la Contribution Vie Etudiante et de Campus (CVEC</w:t>
      </w:r>
      <w:r w:rsidR="008E5711" w:rsidRPr="004D6CF4">
        <w:rPr>
          <w:highlight w:val="yellow"/>
        </w:rPr>
        <w:t>).</w:t>
      </w:r>
    </w:p>
    <w:p w14:paraId="6817F67A" w14:textId="77777777" w:rsidR="008508A8" w:rsidRDefault="008508A8" w:rsidP="00A31399">
      <w:pPr>
        <w:pStyle w:val="Paragraphedeliste"/>
        <w:ind w:left="0"/>
        <w:jc w:val="both"/>
        <w:rPr>
          <w:i/>
        </w:rPr>
      </w:pPr>
    </w:p>
    <w:p w14:paraId="47A72CCE" w14:textId="77777777" w:rsidR="006A0D24" w:rsidRPr="00A01676" w:rsidRDefault="009A3688" w:rsidP="00D1211B">
      <w:pPr>
        <w:pStyle w:val="Paragraphedeliste"/>
        <w:ind w:left="0"/>
        <w:jc w:val="both"/>
        <w:rPr>
          <w:strike/>
        </w:rPr>
      </w:pPr>
      <w:r>
        <w:rPr>
          <w:b/>
        </w:rPr>
        <w:t>4.</w:t>
      </w:r>
      <w:r w:rsidR="00963A97">
        <w:rPr>
          <w:b/>
        </w:rPr>
        <w:t>2</w:t>
      </w:r>
      <w:r>
        <w:rPr>
          <w:b/>
        </w:rPr>
        <w:t xml:space="preserve"> - </w:t>
      </w:r>
      <w:r w:rsidR="00A01676">
        <w:rPr>
          <w:b/>
        </w:rPr>
        <w:t>Bourse</w:t>
      </w:r>
      <w:r w:rsidR="009A7AD1" w:rsidRPr="009A7AD1">
        <w:rPr>
          <w:b/>
        </w:rPr>
        <w:t xml:space="preserve"> </w:t>
      </w:r>
    </w:p>
    <w:p w14:paraId="736EB858" w14:textId="77777777" w:rsidR="007E7315" w:rsidRDefault="0027283B" w:rsidP="009A7AD1">
      <w:pPr>
        <w:jc w:val="both"/>
      </w:pPr>
      <w:r w:rsidRPr="009A7AD1">
        <w:t xml:space="preserve">Si la période de césure consiste en l’inscription dans une formation qui ouvre droit à bourse, celle-ci </w:t>
      </w:r>
      <w:r w:rsidR="007E7315">
        <w:t>peut être</w:t>
      </w:r>
      <w:r w:rsidRPr="009A7AD1">
        <w:t xml:space="preserve"> maintenue</w:t>
      </w:r>
      <w:r w:rsidR="007E7315">
        <w:t>, sur avis de l’étudiant et</w:t>
      </w:r>
      <w:r w:rsidRPr="009A7AD1">
        <w:t xml:space="preserve"> sous réserve de respecter les règles de progression, d’assiduité aux cours et de présence aux examens.</w:t>
      </w:r>
      <w:r w:rsidR="007E7315">
        <w:t xml:space="preserve"> </w:t>
      </w:r>
    </w:p>
    <w:p w14:paraId="7B41D82B" w14:textId="77777777" w:rsidR="00F74913" w:rsidRDefault="00F74913" w:rsidP="009A7AD1">
      <w:pPr>
        <w:jc w:val="both"/>
      </w:pPr>
      <w:bookmarkStart w:id="0" w:name="_GoBack"/>
      <w:bookmarkEnd w:id="0"/>
    </w:p>
    <w:p w14:paraId="79A2FC2E" w14:textId="77777777" w:rsidR="00A140B7" w:rsidRDefault="00360FF2" w:rsidP="009A7AD1">
      <w:pPr>
        <w:jc w:val="both"/>
      </w:pPr>
      <w:r w:rsidRPr="009A7AD1">
        <w:t xml:space="preserve">Dans les autres cas, </w:t>
      </w:r>
      <w:r w:rsidR="007E7315">
        <w:t>la</w:t>
      </w:r>
      <w:r w:rsidRPr="009A7AD1">
        <w:t xml:space="preserve"> décision </w:t>
      </w:r>
      <w:r w:rsidR="007E7315">
        <w:t xml:space="preserve">relève </w:t>
      </w:r>
      <w:r w:rsidRPr="009A7AD1">
        <w:t>de l’établissement.</w:t>
      </w:r>
      <w:r w:rsidR="000A6F36" w:rsidRPr="009A7AD1">
        <w:t xml:space="preserve"> </w:t>
      </w:r>
      <w:r w:rsidR="007E7315">
        <w:t xml:space="preserve">Elle </w:t>
      </w:r>
      <w:r w:rsidR="000A6F36" w:rsidRPr="009A7AD1">
        <w:t>sera prise en fonction de la thématique de la césure.</w:t>
      </w:r>
      <w:r w:rsidR="00963A97">
        <w:t xml:space="preserve"> En cas de refus, elle devra être motivée.</w:t>
      </w:r>
      <w:r w:rsidR="007E7315">
        <w:t xml:space="preserve"> </w:t>
      </w:r>
    </w:p>
    <w:p w14:paraId="3F99EDDA" w14:textId="77777777" w:rsidR="00684896" w:rsidRDefault="000A6F36" w:rsidP="009A7AD1">
      <w:pPr>
        <w:jc w:val="both"/>
      </w:pPr>
      <w:r>
        <w:t>Lorsque le droit à bourse est maintenu, il entre dans le décompte du nombre total de droits à bourse ouverts à l’étudiant au ti</w:t>
      </w:r>
      <w:r w:rsidR="007E3089">
        <w:t>t</w:t>
      </w:r>
      <w:r>
        <w:t>re de chaque cursus.</w:t>
      </w:r>
    </w:p>
    <w:sectPr w:rsidR="00684896" w:rsidSect="0058266B">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2782A" w14:textId="77777777" w:rsidR="008A3B23" w:rsidRDefault="008A3B23" w:rsidP="00E507CB">
      <w:pPr>
        <w:spacing w:after="0" w:line="240" w:lineRule="auto"/>
      </w:pPr>
      <w:r>
        <w:separator/>
      </w:r>
    </w:p>
  </w:endnote>
  <w:endnote w:type="continuationSeparator" w:id="0">
    <w:p w14:paraId="3A896332" w14:textId="77777777" w:rsidR="008A3B23" w:rsidRDefault="008A3B23" w:rsidP="00E50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1813" w14:textId="0C47BDED" w:rsidR="008A3B23" w:rsidRDefault="008A3B23">
    <w:pPr>
      <w:pStyle w:val="Pieddepage"/>
    </w:pPr>
    <w:r>
      <w:t xml:space="preserve">DGD FVU – </w:t>
    </w:r>
    <w:r w:rsidR="0079703A">
      <w:t>DEVE-DOIP</w:t>
    </w:r>
    <w:r>
      <w:tab/>
    </w:r>
    <w:r>
      <w:tab/>
    </w:r>
    <w:r w:rsidR="00F74913">
      <w:t>février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2508A" w14:textId="77777777" w:rsidR="008A3B23" w:rsidRDefault="008A3B23" w:rsidP="00E507CB">
      <w:pPr>
        <w:spacing w:after="0" w:line="240" w:lineRule="auto"/>
      </w:pPr>
      <w:r>
        <w:separator/>
      </w:r>
    </w:p>
  </w:footnote>
  <w:footnote w:type="continuationSeparator" w:id="0">
    <w:p w14:paraId="1553BDDA" w14:textId="77777777" w:rsidR="008A3B23" w:rsidRDefault="008A3B23" w:rsidP="00E507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C964A" w14:textId="77777777" w:rsidR="008A3B23" w:rsidRDefault="001B5040">
    <w:pPr>
      <w:pStyle w:val="En-tte"/>
    </w:pPr>
    <w:r>
      <w:rPr>
        <w:noProof/>
      </w:rPr>
      <w:pict w14:anchorId="54AD65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6480" o:spid="_x0000_s1229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4CFB" w14:textId="77777777" w:rsidR="008A3B23" w:rsidRPr="00E507CB" w:rsidRDefault="008A3B23" w:rsidP="00E507CB">
    <w:pPr>
      <w:pStyle w:val="En-tte"/>
    </w:pPr>
    <w:r>
      <w:rPr>
        <w:noProof/>
        <w:lang w:eastAsia="fr-FR"/>
      </w:rPr>
      <w:drawing>
        <wp:inline distT="0" distB="0" distL="0" distR="0" wp14:anchorId="1B23DEE6" wp14:editId="4A2ACC16">
          <wp:extent cx="1350334" cy="876746"/>
          <wp:effectExtent l="0" t="0" r="2540" b="0"/>
          <wp:docPr id="1" name="Image 0" descr="logo_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tete.jpg"/>
                  <pic:cNvPicPr/>
                </pic:nvPicPr>
                <pic:blipFill>
                  <a:blip r:embed="rId1" cstate="print"/>
                  <a:stretch>
                    <a:fillRect/>
                  </a:stretch>
                </pic:blipFill>
                <pic:spPr>
                  <a:xfrm>
                    <a:off x="0" y="0"/>
                    <a:ext cx="1356714" cy="88088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332E" w14:textId="77777777" w:rsidR="008A3B23" w:rsidRDefault="001B5040">
    <w:pPr>
      <w:pStyle w:val="En-tte"/>
    </w:pPr>
    <w:r>
      <w:rPr>
        <w:noProof/>
      </w:rPr>
      <w:pict w14:anchorId="66E43A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06479" o:spid="_x0000_s1228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5C6"/>
    <w:multiLevelType w:val="hybridMultilevel"/>
    <w:tmpl w:val="5344AC60"/>
    <w:lvl w:ilvl="0" w:tplc="565EE1E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7F2E832A">
      <w:start w:val="10"/>
      <w:numFmt w:val="bullet"/>
      <w:lvlText w:val=""/>
      <w:lvlJc w:val="left"/>
      <w:pPr>
        <w:ind w:left="2160" w:hanging="360"/>
      </w:pPr>
      <w:rPr>
        <w:rFonts w:ascii="Wingdings" w:eastAsiaTheme="minorHAnsi" w:hAnsi="Wingdings"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C4020D"/>
    <w:multiLevelType w:val="hybridMultilevel"/>
    <w:tmpl w:val="FAF64412"/>
    <w:lvl w:ilvl="0" w:tplc="FF90F4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071153"/>
    <w:multiLevelType w:val="hybridMultilevel"/>
    <w:tmpl w:val="0E788506"/>
    <w:lvl w:ilvl="0" w:tplc="BE94D6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408C3"/>
    <w:multiLevelType w:val="hybridMultilevel"/>
    <w:tmpl w:val="CDA4BC9C"/>
    <w:lvl w:ilvl="0" w:tplc="D4EE50A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133FC"/>
    <w:multiLevelType w:val="hybridMultilevel"/>
    <w:tmpl w:val="98A45B4E"/>
    <w:lvl w:ilvl="0" w:tplc="BC1E4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1F0A07"/>
    <w:multiLevelType w:val="hybridMultilevel"/>
    <w:tmpl w:val="3D7ACEF4"/>
    <w:lvl w:ilvl="0" w:tplc="B0288F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5650AE9"/>
    <w:multiLevelType w:val="hybridMultilevel"/>
    <w:tmpl w:val="CD805640"/>
    <w:lvl w:ilvl="0" w:tplc="867CCD5C">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3B4D6D"/>
    <w:multiLevelType w:val="hybridMultilevel"/>
    <w:tmpl w:val="19428106"/>
    <w:lvl w:ilvl="0" w:tplc="B19886A6">
      <w:numFmt w:val="bullet"/>
      <w:lvlText w:val="-"/>
      <w:lvlJc w:val="left"/>
      <w:pPr>
        <w:ind w:left="720" w:hanging="360"/>
      </w:pPr>
      <w:rPr>
        <w:rFonts w:ascii="Arial" w:eastAsia="Times New Roman"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630E8"/>
    <w:multiLevelType w:val="hybridMultilevel"/>
    <w:tmpl w:val="29A865D0"/>
    <w:lvl w:ilvl="0" w:tplc="38C41132">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4B4B11"/>
    <w:multiLevelType w:val="hybridMultilevel"/>
    <w:tmpl w:val="C688F748"/>
    <w:lvl w:ilvl="0" w:tplc="258826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073E4D"/>
    <w:multiLevelType w:val="hybridMultilevel"/>
    <w:tmpl w:val="939C5A6A"/>
    <w:lvl w:ilvl="0" w:tplc="6682157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854660"/>
    <w:multiLevelType w:val="multilevel"/>
    <w:tmpl w:val="112E8AB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A9745C"/>
    <w:multiLevelType w:val="hybridMultilevel"/>
    <w:tmpl w:val="DC24D824"/>
    <w:lvl w:ilvl="0" w:tplc="62641640">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5A113F"/>
    <w:multiLevelType w:val="hybridMultilevel"/>
    <w:tmpl w:val="92A2E7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7E277B"/>
    <w:multiLevelType w:val="hybridMultilevel"/>
    <w:tmpl w:val="300225F0"/>
    <w:lvl w:ilvl="0" w:tplc="B0288FF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DEE6B93"/>
    <w:multiLevelType w:val="hybridMultilevel"/>
    <w:tmpl w:val="C3C27294"/>
    <w:lvl w:ilvl="0" w:tplc="F65CC54A">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B612C6"/>
    <w:multiLevelType w:val="hybridMultilevel"/>
    <w:tmpl w:val="DFE86120"/>
    <w:lvl w:ilvl="0" w:tplc="D45A3AD8">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5B5EC3"/>
    <w:multiLevelType w:val="hybridMultilevel"/>
    <w:tmpl w:val="66703F14"/>
    <w:lvl w:ilvl="0" w:tplc="496AC616">
      <w:start w:val="1"/>
      <w:numFmt w:val="bullet"/>
      <w:lvlText w:val=""/>
      <w:lvlJc w:val="left"/>
      <w:pPr>
        <w:ind w:left="720" w:hanging="360"/>
      </w:pPr>
      <w:rPr>
        <w:rFonts w:ascii="Wingdings" w:hAnsi="Wingdings"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45F632B"/>
    <w:multiLevelType w:val="hybridMultilevel"/>
    <w:tmpl w:val="BB620E36"/>
    <w:lvl w:ilvl="0" w:tplc="A440D56C">
      <w:start w:val="10"/>
      <w:numFmt w:val="bullet"/>
      <w:lvlText w:val="-"/>
      <w:lvlJc w:val="left"/>
      <w:pPr>
        <w:ind w:left="720" w:hanging="360"/>
      </w:pPr>
      <w:rPr>
        <w:rFonts w:ascii="Calibri" w:eastAsiaTheme="minorHAnsi" w:hAnsi="Calibri" w:cstheme="minorBidi" w:hint="default"/>
        <w:b/>
      </w:rPr>
    </w:lvl>
    <w:lvl w:ilvl="1" w:tplc="B2BA0568">
      <w:start w:val="1"/>
      <w:numFmt w:val="bullet"/>
      <w:lvlText w:val="o"/>
      <w:lvlJc w:val="left"/>
      <w:pPr>
        <w:ind w:left="1440" w:hanging="360"/>
      </w:pPr>
      <w:rPr>
        <w:rFonts w:ascii="Courier New" w:hAnsi="Courier New" w:cs="Courier New" w:hint="default"/>
        <w:strike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C52612A"/>
    <w:multiLevelType w:val="hybridMultilevel"/>
    <w:tmpl w:val="B1381F82"/>
    <w:lvl w:ilvl="0" w:tplc="8EF6D63E">
      <w:start w:val="10"/>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4FD60D9"/>
    <w:multiLevelType w:val="hybridMultilevel"/>
    <w:tmpl w:val="FD5695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7D874E6"/>
    <w:multiLevelType w:val="hybridMultilevel"/>
    <w:tmpl w:val="EF6204E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9B91396"/>
    <w:multiLevelType w:val="hybridMultilevel"/>
    <w:tmpl w:val="32B25990"/>
    <w:lvl w:ilvl="0" w:tplc="D908ADA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8"/>
  </w:num>
  <w:num w:numId="4">
    <w:abstractNumId w:val="10"/>
  </w:num>
  <w:num w:numId="5">
    <w:abstractNumId w:val="22"/>
  </w:num>
  <w:num w:numId="6">
    <w:abstractNumId w:val="0"/>
  </w:num>
  <w:num w:numId="7">
    <w:abstractNumId w:val="12"/>
  </w:num>
  <w:num w:numId="8">
    <w:abstractNumId w:val="19"/>
  </w:num>
  <w:num w:numId="9">
    <w:abstractNumId w:val="16"/>
  </w:num>
  <w:num w:numId="10">
    <w:abstractNumId w:val="18"/>
  </w:num>
  <w:num w:numId="11">
    <w:abstractNumId w:val="3"/>
  </w:num>
  <w:num w:numId="12">
    <w:abstractNumId w:val="6"/>
  </w:num>
  <w:num w:numId="13">
    <w:abstractNumId w:val="2"/>
  </w:num>
  <w:num w:numId="14">
    <w:abstractNumId w:val="5"/>
  </w:num>
  <w:num w:numId="15">
    <w:abstractNumId w:val="14"/>
  </w:num>
  <w:num w:numId="16">
    <w:abstractNumId w:val="7"/>
  </w:num>
  <w:num w:numId="17">
    <w:abstractNumId w:val="17"/>
  </w:num>
  <w:num w:numId="18">
    <w:abstractNumId w:val="15"/>
  </w:num>
  <w:num w:numId="19">
    <w:abstractNumId w:val="21"/>
  </w:num>
  <w:num w:numId="20">
    <w:abstractNumId w:val="11"/>
  </w:num>
  <w:num w:numId="21">
    <w:abstractNumId w:val="1"/>
  </w:num>
  <w:num w:numId="22">
    <w:abstractNumId w:val="1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91"/>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0B"/>
    <w:rsid w:val="00012D7B"/>
    <w:rsid w:val="00025303"/>
    <w:rsid w:val="000268C4"/>
    <w:rsid w:val="00047DC1"/>
    <w:rsid w:val="00071422"/>
    <w:rsid w:val="000750C4"/>
    <w:rsid w:val="00084903"/>
    <w:rsid w:val="000977FD"/>
    <w:rsid w:val="000A1829"/>
    <w:rsid w:val="000A6ABA"/>
    <w:rsid w:val="000A6F36"/>
    <w:rsid w:val="000B5424"/>
    <w:rsid w:val="000C167B"/>
    <w:rsid w:val="000C748B"/>
    <w:rsid w:val="000D4EFC"/>
    <w:rsid w:val="000E1B73"/>
    <w:rsid w:val="000E1CD8"/>
    <w:rsid w:val="000F0702"/>
    <w:rsid w:val="000F765D"/>
    <w:rsid w:val="00102E0C"/>
    <w:rsid w:val="0014013E"/>
    <w:rsid w:val="00147C60"/>
    <w:rsid w:val="0015283D"/>
    <w:rsid w:val="00164F76"/>
    <w:rsid w:val="00174DE7"/>
    <w:rsid w:val="00185F92"/>
    <w:rsid w:val="00186875"/>
    <w:rsid w:val="001B2D63"/>
    <w:rsid w:val="001B5040"/>
    <w:rsid w:val="001E4178"/>
    <w:rsid w:val="001E6B90"/>
    <w:rsid w:val="002075AD"/>
    <w:rsid w:val="002076E7"/>
    <w:rsid w:val="00221216"/>
    <w:rsid w:val="002332FB"/>
    <w:rsid w:val="00253740"/>
    <w:rsid w:val="00256D0F"/>
    <w:rsid w:val="00271D67"/>
    <w:rsid w:val="0027283B"/>
    <w:rsid w:val="00281815"/>
    <w:rsid w:val="00290DCE"/>
    <w:rsid w:val="00293920"/>
    <w:rsid w:val="002B2FC2"/>
    <w:rsid w:val="002D165E"/>
    <w:rsid w:val="002D378D"/>
    <w:rsid w:val="002E19D4"/>
    <w:rsid w:val="002E417D"/>
    <w:rsid w:val="002E57FE"/>
    <w:rsid w:val="002F32AD"/>
    <w:rsid w:val="0030566F"/>
    <w:rsid w:val="0030771A"/>
    <w:rsid w:val="00320ACE"/>
    <w:rsid w:val="00324F44"/>
    <w:rsid w:val="00332FDD"/>
    <w:rsid w:val="00346F6D"/>
    <w:rsid w:val="00360FF2"/>
    <w:rsid w:val="0037190B"/>
    <w:rsid w:val="0037312B"/>
    <w:rsid w:val="00374AAF"/>
    <w:rsid w:val="0039054E"/>
    <w:rsid w:val="00392AB5"/>
    <w:rsid w:val="003943A4"/>
    <w:rsid w:val="003A22A0"/>
    <w:rsid w:val="003B15BA"/>
    <w:rsid w:val="003B2213"/>
    <w:rsid w:val="003C37C8"/>
    <w:rsid w:val="003C572D"/>
    <w:rsid w:val="003D7706"/>
    <w:rsid w:val="003F15A8"/>
    <w:rsid w:val="003F345D"/>
    <w:rsid w:val="00421D55"/>
    <w:rsid w:val="00431830"/>
    <w:rsid w:val="00433AF4"/>
    <w:rsid w:val="00435DC2"/>
    <w:rsid w:val="0043746A"/>
    <w:rsid w:val="00437843"/>
    <w:rsid w:val="0044215C"/>
    <w:rsid w:val="00451ADF"/>
    <w:rsid w:val="00456EF9"/>
    <w:rsid w:val="0047292A"/>
    <w:rsid w:val="00475F4D"/>
    <w:rsid w:val="00475F96"/>
    <w:rsid w:val="004C28E0"/>
    <w:rsid w:val="004C2E30"/>
    <w:rsid w:val="004C37D2"/>
    <w:rsid w:val="004D0BA1"/>
    <w:rsid w:val="004D6CF4"/>
    <w:rsid w:val="004E0168"/>
    <w:rsid w:val="004F13BE"/>
    <w:rsid w:val="004F2D4E"/>
    <w:rsid w:val="00582619"/>
    <w:rsid w:val="0058266B"/>
    <w:rsid w:val="005A52E2"/>
    <w:rsid w:val="005C1CEC"/>
    <w:rsid w:val="005F23CD"/>
    <w:rsid w:val="005F57A0"/>
    <w:rsid w:val="005F6D0B"/>
    <w:rsid w:val="00604BA7"/>
    <w:rsid w:val="00630768"/>
    <w:rsid w:val="00633877"/>
    <w:rsid w:val="00635F33"/>
    <w:rsid w:val="00642C9A"/>
    <w:rsid w:val="00651879"/>
    <w:rsid w:val="00670BD1"/>
    <w:rsid w:val="00683E8B"/>
    <w:rsid w:val="00684896"/>
    <w:rsid w:val="0068507E"/>
    <w:rsid w:val="006A0D24"/>
    <w:rsid w:val="006A1468"/>
    <w:rsid w:val="006B0FD3"/>
    <w:rsid w:val="006B1CF0"/>
    <w:rsid w:val="006D191F"/>
    <w:rsid w:val="006D5454"/>
    <w:rsid w:val="006D7D18"/>
    <w:rsid w:val="00704BD2"/>
    <w:rsid w:val="00704EA2"/>
    <w:rsid w:val="00711356"/>
    <w:rsid w:val="0071448F"/>
    <w:rsid w:val="00723E0B"/>
    <w:rsid w:val="0076390D"/>
    <w:rsid w:val="00766074"/>
    <w:rsid w:val="00785F05"/>
    <w:rsid w:val="00792D00"/>
    <w:rsid w:val="0079703A"/>
    <w:rsid w:val="007A3C0C"/>
    <w:rsid w:val="007A790E"/>
    <w:rsid w:val="007B79B1"/>
    <w:rsid w:val="007C240E"/>
    <w:rsid w:val="007D6F1C"/>
    <w:rsid w:val="007E0DA2"/>
    <w:rsid w:val="007E1BB4"/>
    <w:rsid w:val="007E3089"/>
    <w:rsid w:val="007E6AD4"/>
    <w:rsid w:val="007E7315"/>
    <w:rsid w:val="007F1768"/>
    <w:rsid w:val="008240A2"/>
    <w:rsid w:val="00832A5F"/>
    <w:rsid w:val="00842006"/>
    <w:rsid w:val="008508A8"/>
    <w:rsid w:val="00854BC4"/>
    <w:rsid w:val="00862B5A"/>
    <w:rsid w:val="008930AC"/>
    <w:rsid w:val="00893F19"/>
    <w:rsid w:val="008A033F"/>
    <w:rsid w:val="008A3B23"/>
    <w:rsid w:val="008B2000"/>
    <w:rsid w:val="008E5711"/>
    <w:rsid w:val="008E5ABB"/>
    <w:rsid w:val="008E6CD1"/>
    <w:rsid w:val="008F118C"/>
    <w:rsid w:val="008F6D89"/>
    <w:rsid w:val="00917ED4"/>
    <w:rsid w:val="009207D2"/>
    <w:rsid w:val="00927AF2"/>
    <w:rsid w:val="009337D6"/>
    <w:rsid w:val="009345AA"/>
    <w:rsid w:val="00942DBA"/>
    <w:rsid w:val="009508BC"/>
    <w:rsid w:val="00963A97"/>
    <w:rsid w:val="00966596"/>
    <w:rsid w:val="00971024"/>
    <w:rsid w:val="009839C5"/>
    <w:rsid w:val="00986A70"/>
    <w:rsid w:val="009870F5"/>
    <w:rsid w:val="00997573"/>
    <w:rsid w:val="009A3688"/>
    <w:rsid w:val="009A7AD1"/>
    <w:rsid w:val="009B769D"/>
    <w:rsid w:val="009D6826"/>
    <w:rsid w:val="009E4F6B"/>
    <w:rsid w:val="00A01676"/>
    <w:rsid w:val="00A067D2"/>
    <w:rsid w:val="00A1314C"/>
    <w:rsid w:val="00A1405C"/>
    <w:rsid w:val="00A140B7"/>
    <w:rsid w:val="00A1421F"/>
    <w:rsid w:val="00A167F2"/>
    <w:rsid w:val="00A20A01"/>
    <w:rsid w:val="00A31399"/>
    <w:rsid w:val="00A334D9"/>
    <w:rsid w:val="00A55E46"/>
    <w:rsid w:val="00A603DF"/>
    <w:rsid w:val="00A92A48"/>
    <w:rsid w:val="00A92CC1"/>
    <w:rsid w:val="00AA2BAA"/>
    <w:rsid w:val="00AC355D"/>
    <w:rsid w:val="00AE096A"/>
    <w:rsid w:val="00AF3C26"/>
    <w:rsid w:val="00AF629F"/>
    <w:rsid w:val="00B00C8A"/>
    <w:rsid w:val="00B07DEE"/>
    <w:rsid w:val="00B40B82"/>
    <w:rsid w:val="00B43B97"/>
    <w:rsid w:val="00B501C6"/>
    <w:rsid w:val="00B5261D"/>
    <w:rsid w:val="00B530D3"/>
    <w:rsid w:val="00B63400"/>
    <w:rsid w:val="00B64CAE"/>
    <w:rsid w:val="00B6564E"/>
    <w:rsid w:val="00B9607F"/>
    <w:rsid w:val="00BB0B91"/>
    <w:rsid w:val="00BC460A"/>
    <w:rsid w:val="00BC73A4"/>
    <w:rsid w:val="00BE04CD"/>
    <w:rsid w:val="00BE36CE"/>
    <w:rsid w:val="00C07D3C"/>
    <w:rsid w:val="00C470D9"/>
    <w:rsid w:val="00C56C77"/>
    <w:rsid w:val="00C572D5"/>
    <w:rsid w:val="00C61E9E"/>
    <w:rsid w:val="00C623A0"/>
    <w:rsid w:val="00C712E5"/>
    <w:rsid w:val="00CB06DC"/>
    <w:rsid w:val="00CB2097"/>
    <w:rsid w:val="00CB20CB"/>
    <w:rsid w:val="00CB3E5C"/>
    <w:rsid w:val="00CB468A"/>
    <w:rsid w:val="00CD4348"/>
    <w:rsid w:val="00D01202"/>
    <w:rsid w:val="00D110EE"/>
    <w:rsid w:val="00D1211B"/>
    <w:rsid w:val="00D229A9"/>
    <w:rsid w:val="00D3228C"/>
    <w:rsid w:val="00D32B2E"/>
    <w:rsid w:val="00D349DF"/>
    <w:rsid w:val="00D40CA7"/>
    <w:rsid w:val="00D413B7"/>
    <w:rsid w:val="00D430EF"/>
    <w:rsid w:val="00D4383A"/>
    <w:rsid w:val="00D51AD1"/>
    <w:rsid w:val="00D854B3"/>
    <w:rsid w:val="00D86D24"/>
    <w:rsid w:val="00DA0571"/>
    <w:rsid w:val="00DA48DA"/>
    <w:rsid w:val="00DA4DAE"/>
    <w:rsid w:val="00DB495E"/>
    <w:rsid w:val="00DB7D33"/>
    <w:rsid w:val="00DC7DB6"/>
    <w:rsid w:val="00DD0409"/>
    <w:rsid w:val="00DD141F"/>
    <w:rsid w:val="00DE1FA0"/>
    <w:rsid w:val="00E001D2"/>
    <w:rsid w:val="00E02C2D"/>
    <w:rsid w:val="00E15127"/>
    <w:rsid w:val="00E36862"/>
    <w:rsid w:val="00E4116F"/>
    <w:rsid w:val="00E435AD"/>
    <w:rsid w:val="00E50454"/>
    <w:rsid w:val="00E507CB"/>
    <w:rsid w:val="00E53F71"/>
    <w:rsid w:val="00E55417"/>
    <w:rsid w:val="00E70E25"/>
    <w:rsid w:val="00E71865"/>
    <w:rsid w:val="00E80E47"/>
    <w:rsid w:val="00E85629"/>
    <w:rsid w:val="00EA0F2B"/>
    <w:rsid w:val="00EA1994"/>
    <w:rsid w:val="00EA7D0A"/>
    <w:rsid w:val="00EB38E5"/>
    <w:rsid w:val="00ED400B"/>
    <w:rsid w:val="00EE3F12"/>
    <w:rsid w:val="00EF69C0"/>
    <w:rsid w:val="00F24FC8"/>
    <w:rsid w:val="00F25F48"/>
    <w:rsid w:val="00F307ED"/>
    <w:rsid w:val="00F32038"/>
    <w:rsid w:val="00F44369"/>
    <w:rsid w:val="00F44DEA"/>
    <w:rsid w:val="00F461AF"/>
    <w:rsid w:val="00F47684"/>
    <w:rsid w:val="00F60F27"/>
    <w:rsid w:val="00F74913"/>
    <w:rsid w:val="00F76BC6"/>
    <w:rsid w:val="00F8665D"/>
    <w:rsid w:val="00F971ED"/>
    <w:rsid w:val="00FA1614"/>
    <w:rsid w:val="00FA54D7"/>
    <w:rsid w:val="00FB5D4F"/>
    <w:rsid w:val="00FC5069"/>
    <w:rsid w:val="00FD219C"/>
    <w:rsid w:val="00FF3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0C3C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48"/>
  </w:style>
  <w:style w:type="paragraph" w:styleId="Titre1">
    <w:name w:val="heading 1"/>
    <w:basedOn w:val="Normal"/>
    <w:next w:val="Normal"/>
    <w:link w:val="Titre1Car"/>
    <w:uiPriority w:val="9"/>
    <w:qFormat/>
    <w:rsid w:val="00B64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64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3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409"/>
    <w:pPr>
      <w:ind w:left="720"/>
      <w:contextualSpacing/>
    </w:pPr>
  </w:style>
  <w:style w:type="character" w:styleId="Lienhypertexte">
    <w:name w:val="Hyperlink"/>
    <w:basedOn w:val="Policepardfaut"/>
    <w:uiPriority w:val="99"/>
    <w:semiHidden/>
    <w:unhideWhenUsed/>
    <w:rsid w:val="002F32AD"/>
    <w:rPr>
      <w:color w:val="0000FF"/>
      <w:u w:val="single"/>
    </w:rPr>
  </w:style>
  <w:style w:type="character" w:customStyle="1" w:styleId="Titre1Car">
    <w:name w:val="Titre 1 Car"/>
    <w:basedOn w:val="Policepardfaut"/>
    <w:link w:val="Titre1"/>
    <w:uiPriority w:val="9"/>
    <w:rsid w:val="00B64CA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64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4CAE"/>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64CAE"/>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B64CA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64CAE"/>
    <w:rPr>
      <w:b/>
      <w:bCs/>
      <w:i/>
      <w:iCs/>
      <w:color w:val="4F81BD" w:themeColor="accent1"/>
    </w:rPr>
  </w:style>
  <w:style w:type="paragraph" w:styleId="Sous-titre">
    <w:name w:val="Subtitle"/>
    <w:basedOn w:val="Normal"/>
    <w:next w:val="Normal"/>
    <w:link w:val="Sous-titreCar"/>
    <w:uiPriority w:val="11"/>
    <w:qFormat/>
    <w:rsid w:val="00B64C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64CAE"/>
    <w:rPr>
      <w:rFonts w:asciiTheme="majorHAnsi" w:eastAsiaTheme="majorEastAsia" w:hAnsiTheme="majorHAnsi" w:cstheme="majorBidi"/>
      <w:i/>
      <w:iCs/>
      <w:color w:val="4F81BD" w:themeColor="accent1"/>
      <w:spacing w:val="15"/>
      <w:sz w:val="24"/>
      <w:szCs w:val="24"/>
    </w:rPr>
  </w:style>
  <w:style w:type="character" w:styleId="Titredulivre">
    <w:name w:val="Book Title"/>
    <w:basedOn w:val="Policepardfaut"/>
    <w:uiPriority w:val="33"/>
    <w:qFormat/>
    <w:rsid w:val="00102E0C"/>
    <w:rPr>
      <w:b/>
      <w:bCs/>
      <w:smallCaps/>
      <w:spacing w:val="5"/>
    </w:rPr>
  </w:style>
  <w:style w:type="paragraph" w:styleId="Citation">
    <w:name w:val="Quote"/>
    <w:basedOn w:val="Normal"/>
    <w:next w:val="Normal"/>
    <w:link w:val="CitationCar"/>
    <w:uiPriority w:val="29"/>
    <w:qFormat/>
    <w:rsid w:val="00102E0C"/>
    <w:rPr>
      <w:i/>
      <w:iCs/>
      <w:color w:val="000000" w:themeColor="text1"/>
    </w:rPr>
  </w:style>
  <w:style w:type="character" w:customStyle="1" w:styleId="CitationCar">
    <w:name w:val="Citation Car"/>
    <w:basedOn w:val="Policepardfaut"/>
    <w:link w:val="Citation"/>
    <w:uiPriority w:val="29"/>
    <w:rsid w:val="00102E0C"/>
    <w:rPr>
      <w:i/>
      <w:iCs/>
      <w:color w:val="000000" w:themeColor="text1"/>
    </w:rPr>
  </w:style>
  <w:style w:type="table" w:styleId="Grilledutableau">
    <w:name w:val="Table Grid"/>
    <w:basedOn w:val="TableauNormal"/>
    <w:uiPriority w:val="59"/>
    <w:rsid w:val="0022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07CB"/>
    <w:pPr>
      <w:tabs>
        <w:tab w:val="center" w:pos="4536"/>
        <w:tab w:val="right" w:pos="9072"/>
      </w:tabs>
      <w:spacing w:after="0" w:line="240" w:lineRule="auto"/>
    </w:pPr>
  </w:style>
  <w:style w:type="character" w:customStyle="1" w:styleId="En-tteCar">
    <w:name w:val="En-tête Car"/>
    <w:basedOn w:val="Policepardfaut"/>
    <w:link w:val="En-tte"/>
    <w:uiPriority w:val="99"/>
    <w:rsid w:val="00E507CB"/>
  </w:style>
  <w:style w:type="paragraph" w:styleId="Pieddepage">
    <w:name w:val="footer"/>
    <w:basedOn w:val="Normal"/>
    <w:link w:val="PieddepageCar"/>
    <w:uiPriority w:val="99"/>
    <w:unhideWhenUsed/>
    <w:rsid w:val="00E50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7CB"/>
  </w:style>
  <w:style w:type="paragraph" w:styleId="Textedebulles">
    <w:name w:val="Balloon Text"/>
    <w:basedOn w:val="Normal"/>
    <w:link w:val="TextedebullesCar"/>
    <w:uiPriority w:val="99"/>
    <w:semiHidden/>
    <w:unhideWhenUsed/>
    <w:rsid w:val="00E50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7CB"/>
    <w:rPr>
      <w:rFonts w:ascii="Tahoma" w:hAnsi="Tahoma" w:cs="Tahoma"/>
      <w:sz w:val="16"/>
      <w:szCs w:val="16"/>
    </w:rPr>
  </w:style>
  <w:style w:type="character" w:customStyle="1" w:styleId="Titre3Car">
    <w:name w:val="Titre 3 Car"/>
    <w:basedOn w:val="Policepardfaut"/>
    <w:link w:val="Titre3"/>
    <w:uiPriority w:val="9"/>
    <w:rsid w:val="003C37C8"/>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785F05"/>
    <w:rPr>
      <w:sz w:val="16"/>
      <w:szCs w:val="16"/>
    </w:rPr>
  </w:style>
  <w:style w:type="paragraph" w:styleId="Commentaire">
    <w:name w:val="annotation text"/>
    <w:basedOn w:val="Normal"/>
    <w:link w:val="CommentaireCar"/>
    <w:uiPriority w:val="99"/>
    <w:semiHidden/>
    <w:unhideWhenUsed/>
    <w:rsid w:val="00785F05"/>
    <w:pPr>
      <w:spacing w:line="240" w:lineRule="auto"/>
    </w:pPr>
    <w:rPr>
      <w:sz w:val="20"/>
      <w:szCs w:val="20"/>
    </w:rPr>
  </w:style>
  <w:style w:type="character" w:customStyle="1" w:styleId="CommentaireCar">
    <w:name w:val="Commentaire Car"/>
    <w:basedOn w:val="Policepardfaut"/>
    <w:link w:val="Commentaire"/>
    <w:uiPriority w:val="99"/>
    <w:semiHidden/>
    <w:rsid w:val="00785F05"/>
    <w:rPr>
      <w:sz w:val="20"/>
      <w:szCs w:val="20"/>
    </w:rPr>
  </w:style>
  <w:style w:type="paragraph" w:styleId="Objetducommentaire">
    <w:name w:val="annotation subject"/>
    <w:basedOn w:val="Commentaire"/>
    <w:next w:val="Commentaire"/>
    <w:link w:val="ObjetducommentaireCar"/>
    <w:uiPriority w:val="99"/>
    <w:semiHidden/>
    <w:unhideWhenUsed/>
    <w:rsid w:val="00785F05"/>
    <w:rPr>
      <w:b/>
      <w:bCs/>
    </w:rPr>
  </w:style>
  <w:style w:type="character" w:customStyle="1" w:styleId="ObjetducommentaireCar">
    <w:name w:val="Objet du commentaire Car"/>
    <w:basedOn w:val="CommentaireCar"/>
    <w:link w:val="Objetducommentaire"/>
    <w:uiPriority w:val="99"/>
    <w:semiHidden/>
    <w:rsid w:val="00785F05"/>
    <w:rPr>
      <w:b/>
      <w:bCs/>
      <w:sz w:val="20"/>
      <w:szCs w:val="20"/>
    </w:rPr>
  </w:style>
  <w:style w:type="paragraph" w:styleId="Notedebasdepage">
    <w:name w:val="footnote text"/>
    <w:basedOn w:val="Normal"/>
    <w:link w:val="NotedebasdepageCar"/>
    <w:uiPriority w:val="99"/>
    <w:semiHidden/>
    <w:unhideWhenUsed/>
    <w:rsid w:val="000E1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B73"/>
    <w:rPr>
      <w:sz w:val="20"/>
      <w:szCs w:val="20"/>
    </w:rPr>
  </w:style>
  <w:style w:type="character" w:styleId="Appelnotedebasdep">
    <w:name w:val="footnote reference"/>
    <w:basedOn w:val="Policepardfaut"/>
    <w:uiPriority w:val="99"/>
    <w:semiHidden/>
    <w:unhideWhenUsed/>
    <w:rsid w:val="000E1B73"/>
    <w:rPr>
      <w:vertAlign w:val="superscript"/>
    </w:rPr>
  </w:style>
  <w:style w:type="paragraph" w:styleId="NormalWeb">
    <w:name w:val="Normal (Web)"/>
    <w:basedOn w:val="Normal"/>
    <w:uiPriority w:val="99"/>
    <w:unhideWhenUsed/>
    <w:rsid w:val="00185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3A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48"/>
  </w:style>
  <w:style w:type="paragraph" w:styleId="Titre1">
    <w:name w:val="heading 1"/>
    <w:basedOn w:val="Normal"/>
    <w:next w:val="Normal"/>
    <w:link w:val="Titre1Car"/>
    <w:uiPriority w:val="9"/>
    <w:qFormat/>
    <w:rsid w:val="00B64C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64C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C3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0409"/>
    <w:pPr>
      <w:ind w:left="720"/>
      <w:contextualSpacing/>
    </w:pPr>
  </w:style>
  <w:style w:type="character" w:styleId="Lienhypertexte">
    <w:name w:val="Hyperlink"/>
    <w:basedOn w:val="Policepardfaut"/>
    <w:uiPriority w:val="99"/>
    <w:semiHidden/>
    <w:unhideWhenUsed/>
    <w:rsid w:val="002F32AD"/>
    <w:rPr>
      <w:color w:val="0000FF"/>
      <w:u w:val="single"/>
    </w:rPr>
  </w:style>
  <w:style w:type="character" w:customStyle="1" w:styleId="Titre1Car">
    <w:name w:val="Titre 1 Car"/>
    <w:basedOn w:val="Policepardfaut"/>
    <w:link w:val="Titre1"/>
    <w:uiPriority w:val="9"/>
    <w:rsid w:val="00B64CAE"/>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B64C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64CAE"/>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B64CAE"/>
    <w:rPr>
      <w:rFonts w:asciiTheme="majorHAnsi" w:eastAsiaTheme="majorEastAsia" w:hAnsiTheme="majorHAnsi" w:cstheme="majorBidi"/>
      <w:b/>
      <w:bCs/>
      <w:color w:val="4F81BD" w:themeColor="accent1"/>
      <w:sz w:val="26"/>
      <w:szCs w:val="26"/>
    </w:rPr>
  </w:style>
  <w:style w:type="paragraph" w:styleId="Citationintense">
    <w:name w:val="Intense Quote"/>
    <w:basedOn w:val="Normal"/>
    <w:next w:val="Normal"/>
    <w:link w:val="CitationintenseCar"/>
    <w:uiPriority w:val="30"/>
    <w:qFormat/>
    <w:rsid w:val="00B64CAE"/>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64CAE"/>
    <w:rPr>
      <w:b/>
      <w:bCs/>
      <w:i/>
      <w:iCs/>
      <w:color w:val="4F81BD" w:themeColor="accent1"/>
    </w:rPr>
  </w:style>
  <w:style w:type="paragraph" w:styleId="Sous-titre">
    <w:name w:val="Subtitle"/>
    <w:basedOn w:val="Normal"/>
    <w:next w:val="Normal"/>
    <w:link w:val="Sous-titreCar"/>
    <w:uiPriority w:val="11"/>
    <w:qFormat/>
    <w:rsid w:val="00B64CA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64CAE"/>
    <w:rPr>
      <w:rFonts w:asciiTheme="majorHAnsi" w:eastAsiaTheme="majorEastAsia" w:hAnsiTheme="majorHAnsi" w:cstheme="majorBidi"/>
      <w:i/>
      <w:iCs/>
      <w:color w:val="4F81BD" w:themeColor="accent1"/>
      <w:spacing w:val="15"/>
      <w:sz w:val="24"/>
      <w:szCs w:val="24"/>
    </w:rPr>
  </w:style>
  <w:style w:type="character" w:styleId="Titredulivre">
    <w:name w:val="Book Title"/>
    <w:basedOn w:val="Policepardfaut"/>
    <w:uiPriority w:val="33"/>
    <w:qFormat/>
    <w:rsid w:val="00102E0C"/>
    <w:rPr>
      <w:b/>
      <w:bCs/>
      <w:smallCaps/>
      <w:spacing w:val="5"/>
    </w:rPr>
  </w:style>
  <w:style w:type="paragraph" w:styleId="Citation">
    <w:name w:val="Quote"/>
    <w:basedOn w:val="Normal"/>
    <w:next w:val="Normal"/>
    <w:link w:val="CitationCar"/>
    <w:uiPriority w:val="29"/>
    <w:qFormat/>
    <w:rsid w:val="00102E0C"/>
    <w:rPr>
      <w:i/>
      <w:iCs/>
      <w:color w:val="000000" w:themeColor="text1"/>
    </w:rPr>
  </w:style>
  <w:style w:type="character" w:customStyle="1" w:styleId="CitationCar">
    <w:name w:val="Citation Car"/>
    <w:basedOn w:val="Policepardfaut"/>
    <w:link w:val="Citation"/>
    <w:uiPriority w:val="29"/>
    <w:rsid w:val="00102E0C"/>
    <w:rPr>
      <w:i/>
      <w:iCs/>
      <w:color w:val="000000" w:themeColor="text1"/>
    </w:rPr>
  </w:style>
  <w:style w:type="table" w:styleId="Grilledutableau">
    <w:name w:val="Table Grid"/>
    <w:basedOn w:val="TableauNormal"/>
    <w:uiPriority w:val="59"/>
    <w:rsid w:val="0022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507CB"/>
    <w:pPr>
      <w:tabs>
        <w:tab w:val="center" w:pos="4536"/>
        <w:tab w:val="right" w:pos="9072"/>
      </w:tabs>
      <w:spacing w:after="0" w:line="240" w:lineRule="auto"/>
    </w:pPr>
  </w:style>
  <w:style w:type="character" w:customStyle="1" w:styleId="En-tteCar">
    <w:name w:val="En-tête Car"/>
    <w:basedOn w:val="Policepardfaut"/>
    <w:link w:val="En-tte"/>
    <w:uiPriority w:val="99"/>
    <w:rsid w:val="00E507CB"/>
  </w:style>
  <w:style w:type="paragraph" w:styleId="Pieddepage">
    <w:name w:val="footer"/>
    <w:basedOn w:val="Normal"/>
    <w:link w:val="PieddepageCar"/>
    <w:uiPriority w:val="99"/>
    <w:unhideWhenUsed/>
    <w:rsid w:val="00E50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07CB"/>
  </w:style>
  <w:style w:type="paragraph" w:styleId="Textedebulles">
    <w:name w:val="Balloon Text"/>
    <w:basedOn w:val="Normal"/>
    <w:link w:val="TextedebullesCar"/>
    <w:uiPriority w:val="99"/>
    <w:semiHidden/>
    <w:unhideWhenUsed/>
    <w:rsid w:val="00E507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507CB"/>
    <w:rPr>
      <w:rFonts w:ascii="Tahoma" w:hAnsi="Tahoma" w:cs="Tahoma"/>
      <w:sz w:val="16"/>
      <w:szCs w:val="16"/>
    </w:rPr>
  </w:style>
  <w:style w:type="character" w:customStyle="1" w:styleId="Titre3Car">
    <w:name w:val="Titre 3 Car"/>
    <w:basedOn w:val="Policepardfaut"/>
    <w:link w:val="Titre3"/>
    <w:uiPriority w:val="9"/>
    <w:rsid w:val="003C37C8"/>
    <w:rPr>
      <w:rFonts w:asciiTheme="majorHAnsi" w:eastAsiaTheme="majorEastAsia" w:hAnsiTheme="majorHAnsi" w:cstheme="majorBidi"/>
      <w:b/>
      <w:bCs/>
      <w:color w:val="4F81BD" w:themeColor="accent1"/>
    </w:rPr>
  </w:style>
  <w:style w:type="character" w:styleId="Marquedecommentaire">
    <w:name w:val="annotation reference"/>
    <w:basedOn w:val="Policepardfaut"/>
    <w:uiPriority w:val="99"/>
    <w:semiHidden/>
    <w:unhideWhenUsed/>
    <w:rsid w:val="00785F05"/>
    <w:rPr>
      <w:sz w:val="16"/>
      <w:szCs w:val="16"/>
    </w:rPr>
  </w:style>
  <w:style w:type="paragraph" w:styleId="Commentaire">
    <w:name w:val="annotation text"/>
    <w:basedOn w:val="Normal"/>
    <w:link w:val="CommentaireCar"/>
    <w:uiPriority w:val="99"/>
    <w:semiHidden/>
    <w:unhideWhenUsed/>
    <w:rsid w:val="00785F05"/>
    <w:pPr>
      <w:spacing w:line="240" w:lineRule="auto"/>
    </w:pPr>
    <w:rPr>
      <w:sz w:val="20"/>
      <w:szCs w:val="20"/>
    </w:rPr>
  </w:style>
  <w:style w:type="character" w:customStyle="1" w:styleId="CommentaireCar">
    <w:name w:val="Commentaire Car"/>
    <w:basedOn w:val="Policepardfaut"/>
    <w:link w:val="Commentaire"/>
    <w:uiPriority w:val="99"/>
    <w:semiHidden/>
    <w:rsid w:val="00785F05"/>
    <w:rPr>
      <w:sz w:val="20"/>
      <w:szCs w:val="20"/>
    </w:rPr>
  </w:style>
  <w:style w:type="paragraph" w:styleId="Objetducommentaire">
    <w:name w:val="annotation subject"/>
    <w:basedOn w:val="Commentaire"/>
    <w:next w:val="Commentaire"/>
    <w:link w:val="ObjetducommentaireCar"/>
    <w:uiPriority w:val="99"/>
    <w:semiHidden/>
    <w:unhideWhenUsed/>
    <w:rsid w:val="00785F05"/>
    <w:rPr>
      <w:b/>
      <w:bCs/>
    </w:rPr>
  </w:style>
  <w:style w:type="character" w:customStyle="1" w:styleId="ObjetducommentaireCar">
    <w:name w:val="Objet du commentaire Car"/>
    <w:basedOn w:val="CommentaireCar"/>
    <w:link w:val="Objetducommentaire"/>
    <w:uiPriority w:val="99"/>
    <w:semiHidden/>
    <w:rsid w:val="00785F05"/>
    <w:rPr>
      <w:b/>
      <w:bCs/>
      <w:sz w:val="20"/>
      <w:szCs w:val="20"/>
    </w:rPr>
  </w:style>
  <w:style w:type="paragraph" w:styleId="Notedebasdepage">
    <w:name w:val="footnote text"/>
    <w:basedOn w:val="Normal"/>
    <w:link w:val="NotedebasdepageCar"/>
    <w:uiPriority w:val="99"/>
    <w:semiHidden/>
    <w:unhideWhenUsed/>
    <w:rsid w:val="000E1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1B73"/>
    <w:rPr>
      <w:sz w:val="20"/>
      <w:szCs w:val="20"/>
    </w:rPr>
  </w:style>
  <w:style w:type="character" w:styleId="Appelnotedebasdep">
    <w:name w:val="footnote reference"/>
    <w:basedOn w:val="Policepardfaut"/>
    <w:uiPriority w:val="99"/>
    <w:semiHidden/>
    <w:unhideWhenUsed/>
    <w:rsid w:val="000E1B73"/>
    <w:rPr>
      <w:vertAlign w:val="superscript"/>
    </w:rPr>
  </w:style>
  <w:style w:type="paragraph" w:styleId="NormalWeb">
    <w:name w:val="Normal (Web)"/>
    <w:basedOn w:val="Normal"/>
    <w:uiPriority w:val="99"/>
    <w:unhideWhenUsed/>
    <w:rsid w:val="00185F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3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4167">
      <w:bodyDiv w:val="1"/>
      <w:marLeft w:val="0"/>
      <w:marRight w:val="0"/>
      <w:marTop w:val="0"/>
      <w:marBottom w:val="0"/>
      <w:divBdr>
        <w:top w:val="none" w:sz="0" w:space="0" w:color="auto"/>
        <w:left w:val="none" w:sz="0" w:space="0" w:color="auto"/>
        <w:bottom w:val="none" w:sz="0" w:space="0" w:color="auto"/>
        <w:right w:val="none" w:sz="0" w:space="0" w:color="auto"/>
      </w:divBdr>
      <w:divsChild>
        <w:div w:id="1860200373">
          <w:marLeft w:val="0"/>
          <w:marRight w:val="0"/>
          <w:marTop w:val="0"/>
          <w:marBottom w:val="0"/>
          <w:divBdr>
            <w:top w:val="none" w:sz="0" w:space="0" w:color="auto"/>
            <w:left w:val="none" w:sz="0" w:space="0" w:color="auto"/>
            <w:bottom w:val="none" w:sz="0" w:space="0" w:color="auto"/>
            <w:right w:val="none" w:sz="0" w:space="0" w:color="auto"/>
          </w:divBdr>
        </w:div>
        <w:div w:id="690372278">
          <w:marLeft w:val="0"/>
          <w:marRight w:val="0"/>
          <w:marTop w:val="0"/>
          <w:marBottom w:val="0"/>
          <w:divBdr>
            <w:top w:val="none" w:sz="0" w:space="0" w:color="auto"/>
            <w:left w:val="none" w:sz="0" w:space="0" w:color="auto"/>
            <w:bottom w:val="none" w:sz="0" w:space="0" w:color="auto"/>
            <w:right w:val="none" w:sz="0" w:space="0" w:color="auto"/>
          </w:divBdr>
        </w:div>
        <w:div w:id="1462184287">
          <w:marLeft w:val="0"/>
          <w:marRight w:val="0"/>
          <w:marTop w:val="0"/>
          <w:marBottom w:val="0"/>
          <w:divBdr>
            <w:top w:val="none" w:sz="0" w:space="0" w:color="auto"/>
            <w:left w:val="none" w:sz="0" w:space="0" w:color="auto"/>
            <w:bottom w:val="none" w:sz="0" w:space="0" w:color="auto"/>
            <w:right w:val="none" w:sz="0" w:space="0" w:color="auto"/>
          </w:divBdr>
        </w:div>
        <w:div w:id="837159120">
          <w:marLeft w:val="0"/>
          <w:marRight w:val="0"/>
          <w:marTop w:val="0"/>
          <w:marBottom w:val="0"/>
          <w:divBdr>
            <w:top w:val="none" w:sz="0" w:space="0" w:color="auto"/>
            <w:left w:val="none" w:sz="0" w:space="0" w:color="auto"/>
            <w:bottom w:val="none" w:sz="0" w:space="0" w:color="auto"/>
            <w:right w:val="none" w:sz="0" w:space="0" w:color="auto"/>
          </w:divBdr>
        </w:div>
        <w:div w:id="284043920">
          <w:marLeft w:val="0"/>
          <w:marRight w:val="0"/>
          <w:marTop w:val="0"/>
          <w:marBottom w:val="0"/>
          <w:divBdr>
            <w:top w:val="none" w:sz="0" w:space="0" w:color="auto"/>
            <w:left w:val="none" w:sz="0" w:space="0" w:color="auto"/>
            <w:bottom w:val="none" w:sz="0" w:space="0" w:color="auto"/>
            <w:right w:val="none" w:sz="0" w:space="0" w:color="auto"/>
          </w:divBdr>
        </w:div>
        <w:div w:id="1743678195">
          <w:marLeft w:val="0"/>
          <w:marRight w:val="0"/>
          <w:marTop w:val="0"/>
          <w:marBottom w:val="0"/>
          <w:divBdr>
            <w:top w:val="none" w:sz="0" w:space="0" w:color="auto"/>
            <w:left w:val="none" w:sz="0" w:space="0" w:color="auto"/>
            <w:bottom w:val="none" w:sz="0" w:space="0" w:color="auto"/>
            <w:right w:val="none" w:sz="0" w:space="0" w:color="auto"/>
          </w:divBdr>
        </w:div>
        <w:div w:id="291792567">
          <w:marLeft w:val="0"/>
          <w:marRight w:val="0"/>
          <w:marTop w:val="0"/>
          <w:marBottom w:val="0"/>
          <w:divBdr>
            <w:top w:val="none" w:sz="0" w:space="0" w:color="auto"/>
            <w:left w:val="none" w:sz="0" w:space="0" w:color="auto"/>
            <w:bottom w:val="none" w:sz="0" w:space="0" w:color="auto"/>
            <w:right w:val="none" w:sz="0" w:space="0" w:color="auto"/>
          </w:divBdr>
        </w:div>
        <w:div w:id="782311656">
          <w:marLeft w:val="0"/>
          <w:marRight w:val="0"/>
          <w:marTop w:val="0"/>
          <w:marBottom w:val="0"/>
          <w:divBdr>
            <w:top w:val="none" w:sz="0" w:space="0" w:color="auto"/>
            <w:left w:val="none" w:sz="0" w:space="0" w:color="auto"/>
            <w:bottom w:val="none" w:sz="0" w:space="0" w:color="auto"/>
            <w:right w:val="none" w:sz="0" w:space="0" w:color="auto"/>
          </w:divBdr>
        </w:div>
        <w:div w:id="2031254318">
          <w:marLeft w:val="0"/>
          <w:marRight w:val="0"/>
          <w:marTop w:val="0"/>
          <w:marBottom w:val="0"/>
          <w:divBdr>
            <w:top w:val="none" w:sz="0" w:space="0" w:color="auto"/>
            <w:left w:val="none" w:sz="0" w:space="0" w:color="auto"/>
            <w:bottom w:val="none" w:sz="0" w:space="0" w:color="auto"/>
            <w:right w:val="none" w:sz="0" w:space="0" w:color="auto"/>
          </w:divBdr>
        </w:div>
        <w:div w:id="1082025450">
          <w:marLeft w:val="0"/>
          <w:marRight w:val="0"/>
          <w:marTop w:val="0"/>
          <w:marBottom w:val="0"/>
          <w:divBdr>
            <w:top w:val="none" w:sz="0" w:space="0" w:color="auto"/>
            <w:left w:val="none" w:sz="0" w:space="0" w:color="auto"/>
            <w:bottom w:val="none" w:sz="0" w:space="0" w:color="auto"/>
            <w:right w:val="none" w:sz="0" w:space="0" w:color="auto"/>
          </w:divBdr>
        </w:div>
        <w:div w:id="2025667166">
          <w:marLeft w:val="0"/>
          <w:marRight w:val="0"/>
          <w:marTop w:val="0"/>
          <w:marBottom w:val="0"/>
          <w:divBdr>
            <w:top w:val="none" w:sz="0" w:space="0" w:color="auto"/>
            <w:left w:val="none" w:sz="0" w:space="0" w:color="auto"/>
            <w:bottom w:val="none" w:sz="0" w:space="0" w:color="auto"/>
            <w:right w:val="none" w:sz="0" w:space="0" w:color="auto"/>
          </w:divBdr>
        </w:div>
        <w:div w:id="1266383746">
          <w:marLeft w:val="0"/>
          <w:marRight w:val="0"/>
          <w:marTop w:val="0"/>
          <w:marBottom w:val="0"/>
          <w:divBdr>
            <w:top w:val="none" w:sz="0" w:space="0" w:color="auto"/>
            <w:left w:val="none" w:sz="0" w:space="0" w:color="auto"/>
            <w:bottom w:val="none" w:sz="0" w:space="0" w:color="auto"/>
            <w:right w:val="none" w:sz="0" w:space="0" w:color="auto"/>
          </w:divBdr>
        </w:div>
        <w:div w:id="1302810475">
          <w:marLeft w:val="0"/>
          <w:marRight w:val="0"/>
          <w:marTop w:val="0"/>
          <w:marBottom w:val="0"/>
          <w:divBdr>
            <w:top w:val="none" w:sz="0" w:space="0" w:color="auto"/>
            <w:left w:val="none" w:sz="0" w:space="0" w:color="auto"/>
            <w:bottom w:val="none" w:sz="0" w:space="0" w:color="auto"/>
            <w:right w:val="none" w:sz="0" w:space="0" w:color="auto"/>
          </w:divBdr>
        </w:div>
        <w:div w:id="1753089246">
          <w:marLeft w:val="0"/>
          <w:marRight w:val="0"/>
          <w:marTop w:val="0"/>
          <w:marBottom w:val="0"/>
          <w:divBdr>
            <w:top w:val="none" w:sz="0" w:space="0" w:color="auto"/>
            <w:left w:val="none" w:sz="0" w:space="0" w:color="auto"/>
            <w:bottom w:val="none" w:sz="0" w:space="0" w:color="auto"/>
            <w:right w:val="none" w:sz="0" w:space="0" w:color="auto"/>
          </w:divBdr>
        </w:div>
        <w:div w:id="811942203">
          <w:marLeft w:val="0"/>
          <w:marRight w:val="0"/>
          <w:marTop w:val="0"/>
          <w:marBottom w:val="0"/>
          <w:divBdr>
            <w:top w:val="none" w:sz="0" w:space="0" w:color="auto"/>
            <w:left w:val="none" w:sz="0" w:space="0" w:color="auto"/>
            <w:bottom w:val="none" w:sz="0" w:space="0" w:color="auto"/>
            <w:right w:val="none" w:sz="0" w:space="0" w:color="auto"/>
          </w:divBdr>
        </w:div>
        <w:div w:id="199783113">
          <w:marLeft w:val="0"/>
          <w:marRight w:val="0"/>
          <w:marTop w:val="0"/>
          <w:marBottom w:val="0"/>
          <w:divBdr>
            <w:top w:val="none" w:sz="0" w:space="0" w:color="auto"/>
            <w:left w:val="none" w:sz="0" w:space="0" w:color="auto"/>
            <w:bottom w:val="none" w:sz="0" w:space="0" w:color="auto"/>
            <w:right w:val="none" w:sz="0" w:space="0" w:color="auto"/>
          </w:divBdr>
        </w:div>
        <w:div w:id="656226323">
          <w:marLeft w:val="0"/>
          <w:marRight w:val="0"/>
          <w:marTop w:val="0"/>
          <w:marBottom w:val="0"/>
          <w:divBdr>
            <w:top w:val="none" w:sz="0" w:space="0" w:color="auto"/>
            <w:left w:val="none" w:sz="0" w:space="0" w:color="auto"/>
            <w:bottom w:val="none" w:sz="0" w:space="0" w:color="auto"/>
            <w:right w:val="none" w:sz="0" w:space="0" w:color="auto"/>
          </w:divBdr>
        </w:div>
        <w:div w:id="1300845152">
          <w:marLeft w:val="0"/>
          <w:marRight w:val="0"/>
          <w:marTop w:val="0"/>
          <w:marBottom w:val="0"/>
          <w:divBdr>
            <w:top w:val="none" w:sz="0" w:space="0" w:color="auto"/>
            <w:left w:val="none" w:sz="0" w:space="0" w:color="auto"/>
            <w:bottom w:val="none" w:sz="0" w:space="0" w:color="auto"/>
            <w:right w:val="none" w:sz="0" w:space="0" w:color="auto"/>
          </w:divBdr>
        </w:div>
        <w:div w:id="1049256880">
          <w:marLeft w:val="0"/>
          <w:marRight w:val="0"/>
          <w:marTop w:val="0"/>
          <w:marBottom w:val="0"/>
          <w:divBdr>
            <w:top w:val="none" w:sz="0" w:space="0" w:color="auto"/>
            <w:left w:val="none" w:sz="0" w:space="0" w:color="auto"/>
            <w:bottom w:val="none" w:sz="0" w:space="0" w:color="auto"/>
            <w:right w:val="none" w:sz="0" w:space="0" w:color="auto"/>
          </w:divBdr>
        </w:div>
        <w:div w:id="171722062">
          <w:marLeft w:val="0"/>
          <w:marRight w:val="0"/>
          <w:marTop w:val="0"/>
          <w:marBottom w:val="0"/>
          <w:divBdr>
            <w:top w:val="none" w:sz="0" w:space="0" w:color="auto"/>
            <w:left w:val="none" w:sz="0" w:space="0" w:color="auto"/>
            <w:bottom w:val="none" w:sz="0" w:space="0" w:color="auto"/>
            <w:right w:val="none" w:sz="0" w:space="0" w:color="auto"/>
          </w:divBdr>
        </w:div>
        <w:div w:id="1559245304">
          <w:marLeft w:val="0"/>
          <w:marRight w:val="0"/>
          <w:marTop w:val="0"/>
          <w:marBottom w:val="0"/>
          <w:divBdr>
            <w:top w:val="none" w:sz="0" w:space="0" w:color="auto"/>
            <w:left w:val="none" w:sz="0" w:space="0" w:color="auto"/>
            <w:bottom w:val="none" w:sz="0" w:space="0" w:color="auto"/>
            <w:right w:val="none" w:sz="0" w:space="0" w:color="auto"/>
          </w:divBdr>
        </w:div>
        <w:div w:id="172573949">
          <w:marLeft w:val="0"/>
          <w:marRight w:val="0"/>
          <w:marTop w:val="0"/>
          <w:marBottom w:val="0"/>
          <w:divBdr>
            <w:top w:val="none" w:sz="0" w:space="0" w:color="auto"/>
            <w:left w:val="none" w:sz="0" w:space="0" w:color="auto"/>
            <w:bottom w:val="none" w:sz="0" w:space="0" w:color="auto"/>
            <w:right w:val="none" w:sz="0" w:space="0" w:color="auto"/>
          </w:divBdr>
        </w:div>
        <w:div w:id="882793243">
          <w:marLeft w:val="0"/>
          <w:marRight w:val="0"/>
          <w:marTop w:val="0"/>
          <w:marBottom w:val="0"/>
          <w:divBdr>
            <w:top w:val="none" w:sz="0" w:space="0" w:color="auto"/>
            <w:left w:val="none" w:sz="0" w:space="0" w:color="auto"/>
            <w:bottom w:val="none" w:sz="0" w:space="0" w:color="auto"/>
            <w:right w:val="none" w:sz="0" w:space="0" w:color="auto"/>
          </w:divBdr>
        </w:div>
        <w:div w:id="1029447723">
          <w:marLeft w:val="0"/>
          <w:marRight w:val="0"/>
          <w:marTop w:val="0"/>
          <w:marBottom w:val="0"/>
          <w:divBdr>
            <w:top w:val="none" w:sz="0" w:space="0" w:color="auto"/>
            <w:left w:val="none" w:sz="0" w:space="0" w:color="auto"/>
            <w:bottom w:val="none" w:sz="0" w:space="0" w:color="auto"/>
            <w:right w:val="none" w:sz="0" w:space="0" w:color="auto"/>
          </w:divBdr>
        </w:div>
        <w:div w:id="740257070">
          <w:marLeft w:val="0"/>
          <w:marRight w:val="0"/>
          <w:marTop w:val="0"/>
          <w:marBottom w:val="0"/>
          <w:divBdr>
            <w:top w:val="none" w:sz="0" w:space="0" w:color="auto"/>
            <w:left w:val="none" w:sz="0" w:space="0" w:color="auto"/>
            <w:bottom w:val="none" w:sz="0" w:space="0" w:color="auto"/>
            <w:right w:val="none" w:sz="0" w:space="0" w:color="auto"/>
          </w:divBdr>
        </w:div>
        <w:div w:id="836656607">
          <w:marLeft w:val="0"/>
          <w:marRight w:val="0"/>
          <w:marTop w:val="0"/>
          <w:marBottom w:val="0"/>
          <w:divBdr>
            <w:top w:val="none" w:sz="0" w:space="0" w:color="auto"/>
            <w:left w:val="none" w:sz="0" w:space="0" w:color="auto"/>
            <w:bottom w:val="none" w:sz="0" w:space="0" w:color="auto"/>
            <w:right w:val="none" w:sz="0" w:space="0" w:color="auto"/>
          </w:divBdr>
        </w:div>
        <w:div w:id="1361320650">
          <w:marLeft w:val="0"/>
          <w:marRight w:val="0"/>
          <w:marTop w:val="0"/>
          <w:marBottom w:val="0"/>
          <w:divBdr>
            <w:top w:val="none" w:sz="0" w:space="0" w:color="auto"/>
            <w:left w:val="none" w:sz="0" w:space="0" w:color="auto"/>
            <w:bottom w:val="none" w:sz="0" w:space="0" w:color="auto"/>
            <w:right w:val="none" w:sz="0" w:space="0" w:color="auto"/>
          </w:divBdr>
        </w:div>
        <w:div w:id="1031683736">
          <w:marLeft w:val="0"/>
          <w:marRight w:val="0"/>
          <w:marTop w:val="0"/>
          <w:marBottom w:val="0"/>
          <w:divBdr>
            <w:top w:val="none" w:sz="0" w:space="0" w:color="auto"/>
            <w:left w:val="none" w:sz="0" w:space="0" w:color="auto"/>
            <w:bottom w:val="none" w:sz="0" w:space="0" w:color="auto"/>
            <w:right w:val="none" w:sz="0" w:space="0" w:color="auto"/>
          </w:divBdr>
        </w:div>
        <w:div w:id="2028825102">
          <w:marLeft w:val="0"/>
          <w:marRight w:val="0"/>
          <w:marTop w:val="0"/>
          <w:marBottom w:val="0"/>
          <w:divBdr>
            <w:top w:val="none" w:sz="0" w:space="0" w:color="auto"/>
            <w:left w:val="none" w:sz="0" w:space="0" w:color="auto"/>
            <w:bottom w:val="none" w:sz="0" w:space="0" w:color="auto"/>
            <w:right w:val="none" w:sz="0" w:space="0" w:color="auto"/>
          </w:divBdr>
        </w:div>
        <w:div w:id="1103569916">
          <w:marLeft w:val="0"/>
          <w:marRight w:val="0"/>
          <w:marTop w:val="0"/>
          <w:marBottom w:val="0"/>
          <w:divBdr>
            <w:top w:val="none" w:sz="0" w:space="0" w:color="auto"/>
            <w:left w:val="none" w:sz="0" w:space="0" w:color="auto"/>
            <w:bottom w:val="none" w:sz="0" w:space="0" w:color="auto"/>
            <w:right w:val="none" w:sz="0" w:space="0" w:color="auto"/>
          </w:divBdr>
        </w:div>
        <w:div w:id="518856065">
          <w:marLeft w:val="0"/>
          <w:marRight w:val="0"/>
          <w:marTop w:val="0"/>
          <w:marBottom w:val="0"/>
          <w:divBdr>
            <w:top w:val="none" w:sz="0" w:space="0" w:color="auto"/>
            <w:left w:val="none" w:sz="0" w:space="0" w:color="auto"/>
            <w:bottom w:val="none" w:sz="0" w:space="0" w:color="auto"/>
            <w:right w:val="none" w:sz="0" w:space="0" w:color="auto"/>
          </w:divBdr>
        </w:div>
        <w:div w:id="1925793754">
          <w:marLeft w:val="0"/>
          <w:marRight w:val="0"/>
          <w:marTop w:val="0"/>
          <w:marBottom w:val="0"/>
          <w:divBdr>
            <w:top w:val="none" w:sz="0" w:space="0" w:color="auto"/>
            <w:left w:val="none" w:sz="0" w:space="0" w:color="auto"/>
            <w:bottom w:val="none" w:sz="0" w:space="0" w:color="auto"/>
            <w:right w:val="none" w:sz="0" w:space="0" w:color="auto"/>
          </w:divBdr>
        </w:div>
        <w:div w:id="186212041">
          <w:marLeft w:val="0"/>
          <w:marRight w:val="0"/>
          <w:marTop w:val="0"/>
          <w:marBottom w:val="0"/>
          <w:divBdr>
            <w:top w:val="none" w:sz="0" w:space="0" w:color="auto"/>
            <w:left w:val="none" w:sz="0" w:space="0" w:color="auto"/>
            <w:bottom w:val="none" w:sz="0" w:space="0" w:color="auto"/>
            <w:right w:val="none" w:sz="0" w:space="0" w:color="auto"/>
          </w:divBdr>
        </w:div>
        <w:div w:id="1981880890">
          <w:marLeft w:val="0"/>
          <w:marRight w:val="0"/>
          <w:marTop w:val="0"/>
          <w:marBottom w:val="0"/>
          <w:divBdr>
            <w:top w:val="none" w:sz="0" w:space="0" w:color="auto"/>
            <w:left w:val="none" w:sz="0" w:space="0" w:color="auto"/>
            <w:bottom w:val="none" w:sz="0" w:space="0" w:color="auto"/>
            <w:right w:val="none" w:sz="0" w:space="0" w:color="auto"/>
          </w:divBdr>
        </w:div>
        <w:div w:id="1070662970">
          <w:marLeft w:val="0"/>
          <w:marRight w:val="0"/>
          <w:marTop w:val="0"/>
          <w:marBottom w:val="0"/>
          <w:divBdr>
            <w:top w:val="none" w:sz="0" w:space="0" w:color="auto"/>
            <w:left w:val="none" w:sz="0" w:space="0" w:color="auto"/>
            <w:bottom w:val="none" w:sz="0" w:space="0" w:color="auto"/>
            <w:right w:val="none" w:sz="0" w:space="0" w:color="auto"/>
          </w:divBdr>
        </w:div>
        <w:div w:id="2079404769">
          <w:marLeft w:val="0"/>
          <w:marRight w:val="0"/>
          <w:marTop w:val="0"/>
          <w:marBottom w:val="0"/>
          <w:divBdr>
            <w:top w:val="none" w:sz="0" w:space="0" w:color="auto"/>
            <w:left w:val="none" w:sz="0" w:space="0" w:color="auto"/>
            <w:bottom w:val="none" w:sz="0" w:space="0" w:color="auto"/>
            <w:right w:val="none" w:sz="0" w:space="0" w:color="auto"/>
          </w:divBdr>
        </w:div>
        <w:div w:id="1823498116">
          <w:marLeft w:val="0"/>
          <w:marRight w:val="0"/>
          <w:marTop w:val="0"/>
          <w:marBottom w:val="0"/>
          <w:divBdr>
            <w:top w:val="none" w:sz="0" w:space="0" w:color="auto"/>
            <w:left w:val="none" w:sz="0" w:space="0" w:color="auto"/>
            <w:bottom w:val="none" w:sz="0" w:space="0" w:color="auto"/>
            <w:right w:val="none" w:sz="0" w:space="0" w:color="auto"/>
          </w:divBdr>
        </w:div>
        <w:div w:id="1609770849">
          <w:marLeft w:val="0"/>
          <w:marRight w:val="0"/>
          <w:marTop w:val="0"/>
          <w:marBottom w:val="0"/>
          <w:divBdr>
            <w:top w:val="none" w:sz="0" w:space="0" w:color="auto"/>
            <w:left w:val="none" w:sz="0" w:space="0" w:color="auto"/>
            <w:bottom w:val="none" w:sz="0" w:space="0" w:color="auto"/>
            <w:right w:val="none" w:sz="0" w:space="0" w:color="auto"/>
          </w:divBdr>
        </w:div>
        <w:div w:id="1013996498">
          <w:marLeft w:val="0"/>
          <w:marRight w:val="0"/>
          <w:marTop w:val="0"/>
          <w:marBottom w:val="0"/>
          <w:divBdr>
            <w:top w:val="none" w:sz="0" w:space="0" w:color="auto"/>
            <w:left w:val="none" w:sz="0" w:space="0" w:color="auto"/>
            <w:bottom w:val="none" w:sz="0" w:space="0" w:color="auto"/>
            <w:right w:val="none" w:sz="0" w:space="0" w:color="auto"/>
          </w:divBdr>
        </w:div>
        <w:div w:id="597298993">
          <w:marLeft w:val="0"/>
          <w:marRight w:val="0"/>
          <w:marTop w:val="0"/>
          <w:marBottom w:val="0"/>
          <w:divBdr>
            <w:top w:val="none" w:sz="0" w:space="0" w:color="auto"/>
            <w:left w:val="none" w:sz="0" w:space="0" w:color="auto"/>
            <w:bottom w:val="none" w:sz="0" w:space="0" w:color="auto"/>
            <w:right w:val="none" w:sz="0" w:space="0" w:color="auto"/>
          </w:divBdr>
        </w:div>
        <w:div w:id="1556232251">
          <w:marLeft w:val="0"/>
          <w:marRight w:val="0"/>
          <w:marTop w:val="0"/>
          <w:marBottom w:val="0"/>
          <w:divBdr>
            <w:top w:val="none" w:sz="0" w:space="0" w:color="auto"/>
            <w:left w:val="none" w:sz="0" w:space="0" w:color="auto"/>
            <w:bottom w:val="none" w:sz="0" w:space="0" w:color="auto"/>
            <w:right w:val="none" w:sz="0" w:space="0" w:color="auto"/>
          </w:divBdr>
        </w:div>
        <w:div w:id="991327983">
          <w:marLeft w:val="0"/>
          <w:marRight w:val="0"/>
          <w:marTop w:val="0"/>
          <w:marBottom w:val="0"/>
          <w:divBdr>
            <w:top w:val="none" w:sz="0" w:space="0" w:color="auto"/>
            <w:left w:val="none" w:sz="0" w:space="0" w:color="auto"/>
            <w:bottom w:val="none" w:sz="0" w:space="0" w:color="auto"/>
            <w:right w:val="none" w:sz="0" w:space="0" w:color="auto"/>
          </w:divBdr>
        </w:div>
        <w:div w:id="1243642958">
          <w:marLeft w:val="0"/>
          <w:marRight w:val="0"/>
          <w:marTop w:val="0"/>
          <w:marBottom w:val="0"/>
          <w:divBdr>
            <w:top w:val="none" w:sz="0" w:space="0" w:color="auto"/>
            <w:left w:val="none" w:sz="0" w:space="0" w:color="auto"/>
            <w:bottom w:val="none" w:sz="0" w:space="0" w:color="auto"/>
            <w:right w:val="none" w:sz="0" w:space="0" w:color="auto"/>
          </w:divBdr>
        </w:div>
        <w:div w:id="1837111242">
          <w:marLeft w:val="0"/>
          <w:marRight w:val="0"/>
          <w:marTop w:val="0"/>
          <w:marBottom w:val="0"/>
          <w:divBdr>
            <w:top w:val="none" w:sz="0" w:space="0" w:color="auto"/>
            <w:left w:val="none" w:sz="0" w:space="0" w:color="auto"/>
            <w:bottom w:val="none" w:sz="0" w:space="0" w:color="auto"/>
            <w:right w:val="none" w:sz="0" w:space="0" w:color="auto"/>
          </w:divBdr>
        </w:div>
      </w:divsChild>
    </w:div>
    <w:div w:id="915936372">
      <w:bodyDiv w:val="1"/>
      <w:marLeft w:val="0"/>
      <w:marRight w:val="0"/>
      <w:marTop w:val="0"/>
      <w:marBottom w:val="0"/>
      <w:divBdr>
        <w:top w:val="none" w:sz="0" w:space="0" w:color="auto"/>
        <w:left w:val="none" w:sz="0" w:space="0" w:color="auto"/>
        <w:bottom w:val="none" w:sz="0" w:space="0" w:color="auto"/>
        <w:right w:val="none" w:sz="0" w:space="0" w:color="auto"/>
      </w:divBdr>
    </w:div>
    <w:div w:id="1665812950">
      <w:bodyDiv w:val="1"/>
      <w:marLeft w:val="0"/>
      <w:marRight w:val="0"/>
      <w:marTop w:val="0"/>
      <w:marBottom w:val="0"/>
      <w:divBdr>
        <w:top w:val="none" w:sz="0" w:space="0" w:color="auto"/>
        <w:left w:val="none" w:sz="0" w:space="0" w:color="auto"/>
        <w:bottom w:val="none" w:sz="0" w:space="0" w:color="auto"/>
        <w:right w:val="none" w:sz="0" w:space="0" w:color="auto"/>
      </w:divBdr>
    </w:div>
    <w:div w:id="1812089724">
      <w:bodyDiv w:val="1"/>
      <w:marLeft w:val="0"/>
      <w:marRight w:val="0"/>
      <w:marTop w:val="0"/>
      <w:marBottom w:val="0"/>
      <w:divBdr>
        <w:top w:val="none" w:sz="0" w:space="0" w:color="auto"/>
        <w:left w:val="none" w:sz="0" w:space="0" w:color="auto"/>
        <w:bottom w:val="none" w:sz="0" w:space="0" w:color="auto"/>
        <w:right w:val="none" w:sz="0" w:space="0" w:color="auto"/>
      </w:divBdr>
    </w:div>
    <w:div w:id="19052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seignementsup-recherche.gouv.fr/cid81783/carte-et-coordonnees-des-29-pepite.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EF46-CD8C-48BD-84AE-B299B549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Joseph Fourier</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Bourdic</dc:creator>
  <cp:lastModifiedBy>VIVIANE BOURDIC</cp:lastModifiedBy>
  <cp:revision>3</cp:revision>
  <cp:lastPrinted>2018-07-18T14:45:00Z</cp:lastPrinted>
  <dcterms:created xsi:type="dcterms:W3CDTF">2019-02-19T08:11:00Z</dcterms:created>
  <dcterms:modified xsi:type="dcterms:W3CDTF">2019-02-19T08:23:00Z</dcterms:modified>
</cp:coreProperties>
</file>